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4C" w:rsidRPr="001B1D2A" w:rsidRDefault="0099165E" w:rsidP="00523BF9">
      <w:pPr>
        <w:pStyle w:val="a3"/>
        <w:jc w:val="center"/>
        <w:rPr>
          <w:color w:val="FF0000"/>
          <w:sz w:val="72"/>
          <w:szCs w:val="72"/>
        </w:rPr>
      </w:pPr>
      <w:r w:rsidRPr="001B1D2A">
        <w:rPr>
          <w:color w:val="FF0000"/>
          <w:w w:val="85"/>
          <w:sz w:val="72"/>
          <w:szCs w:val="72"/>
        </w:rPr>
        <w:t>国务院教育督导委员会办公室</w:t>
      </w:r>
    </w:p>
    <w:p w:rsidR="005E634C" w:rsidRDefault="006D5911" w:rsidP="00523BF9">
      <w:pPr>
        <w:pStyle w:val="a3"/>
        <w:rPr>
          <w:sz w:val="12"/>
        </w:rPr>
      </w:pPr>
      <w:r w:rsidRPr="006D5911">
        <w:pict>
          <v:line id="_x0000_s1039" style="position:absolute;z-index:251654656;mso-wrap-distance-left:0;mso-wrap-distance-right:0;mso-position-horizontal-relative:page" from="77.9pt,11.75pt" to="515.15pt,11.75pt" strokecolor="red" strokeweight="1pt">
            <w10:wrap type="topAndBottom" anchorx="page"/>
          </v:line>
        </w:pict>
      </w:r>
    </w:p>
    <w:p w:rsidR="004D0439" w:rsidRPr="001B1D2A" w:rsidRDefault="004D0439" w:rsidP="00523BF9">
      <w:pPr>
        <w:ind w:left="5204"/>
        <w:rPr>
          <w:color w:val="000000" w:themeColor="text1"/>
          <w:sz w:val="29"/>
          <w:lang w:eastAsia="zh-CN"/>
        </w:rPr>
      </w:pPr>
    </w:p>
    <w:p w:rsidR="005E634C" w:rsidRPr="001B1D2A" w:rsidRDefault="0099165E" w:rsidP="00523BF9">
      <w:pPr>
        <w:ind w:firstLineChars="1700" w:firstLine="5440"/>
        <w:rPr>
          <w:rFonts w:ascii="楷体_GB2312" w:eastAsia="楷体_GB2312"/>
          <w:color w:val="000000" w:themeColor="text1"/>
          <w:sz w:val="32"/>
          <w:szCs w:val="32"/>
        </w:rPr>
      </w:pPr>
      <w:r w:rsidRPr="001B1D2A">
        <w:rPr>
          <w:rFonts w:ascii="楷体_GB2312" w:eastAsia="楷体_GB2312" w:hint="eastAsia"/>
          <w:color w:val="000000" w:themeColor="text1"/>
          <w:sz w:val="32"/>
          <w:szCs w:val="32"/>
        </w:rPr>
        <w:t>国教督办函[2019]30号</w:t>
      </w:r>
    </w:p>
    <w:p w:rsidR="00523BF9" w:rsidRDefault="00523BF9" w:rsidP="00523BF9">
      <w:pPr>
        <w:pStyle w:val="Heading1"/>
        <w:ind w:left="0"/>
        <w:jc w:val="center"/>
        <w:rPr>
          <w:rFonts w:ascii="方正小标宋简体" w:eastAsia="方正小标宋简体" w:hint="eastAsia"/>
          <w:color w:val="000000" w:themeColor="text1"/>
          <w:sz w:val="44"/>
          <w:szCs w:val="44"/>
          <w:lang w:eastAsia="zh-CN"/>
        </w:rPr>
      </w:pPr>
    </w:p>
    <w:p w:rsidR="004D0439" w:rsidRPr="001B1D2A" w:rsidRDefault="0099165E" w:rsidP="00523BF9">
      <w:pPr>
        <w:pStyle w:val="Heading1"/>
        <w:ind w:left="0"/>
        <w:jc w:val="center"/>
        <w:rPr>
          <w:rFonts w:ascii="方正小标宋简体" w:eastAsia="方正小标宋简体"/>
          <w:color w:val="000000" w:themeColor="text1"/>
          <w:sz w:val="44"/>
          <w:szCs w:val="44"/>
          <w:lang w:eastAsia="zh-CN"/>
        </w:rPr>
      </w:pPr>
      <w:r w:rsidRPr="001B1D2A">
        <w:rPr>
          <w:rFonts w:ascii="方正小标宋简体" w:eastAsia="方正小标宋简体" w:hint="eastAsia"/>
          <w:color w:val="000000" w:themeColor="text1"/>
          <w:sz w:val="44"/>
          <w:szCs w:val="44"/>
        </w:rPr>
        <w:t>国务院教育督导委员会办公室</w:t>
      </w:r>
    </w:p>
    <w:p w:rsidR="005E634C" w:rsidRPr="001B1D2A" w:rsidRDefault="0099165E" w:rsidP="00523BF9">
      <w:pPr>
        <w:pStyle w:val="Heading1"/>
        <w:ind w:left="0"/>
        <w:jc w:val="center"/>
        <w:rPr>
          <w:rFonts w:ascii="方正小标宋简体" w:eastAsia="方正小标宋简体"/>
          <w:color w:val="000000" w:themeColor="text1"/>
          <w:sz w:val="44"/>
          <w:szCs w:val="44"/>
        </w:rPr>
      </w:pPr>
      <w:r w:rsidRPr="001B1D2A">
        <w:rPr>
          <w:rFonts w:ascii="方正小标宋简体" w:eastAsia="方正小标宋简体" w:hint="eastAsia"/>
          <w:color w:val="000000" w:themeColor="text1"/>
          <w:sz w:val="44"/>
          <w:szCs w:val="44"/>
        </w:rPr>
        <w:t>关于印发《县域</w:t>
      </w:r>
      <w:r w:rsidRPr="001B1D2A">
        <w:rPr>
          <w:rFonts w:ascii="方正小标宋简体" w:eastAsia="方正小标宋简体" w:hint="eastAsia"/>
          <w:color w:val="000000" w:themeColor="text1"/>
          <w:w w:val="105"/>
          <w:sz w:val="44"/>
          <w:szCs w:val="44"/>
        </w:rPr>
        <w:t>义务教育优质均衡发展国家督导评估认定</w:t>
      </w:r>
      <w:r w:rsidRPr="001B1D2A">
        <w:rPr>
          <w:rFonts w:ascii="方正小标宋简体" w:eastAsia="方正小标宋简体" w:hint="eastAsia"/>
          <w:color w:val="000000" w:themeColor="text1"/>
          <w:sz w:val="44"/>
          <w:szCs w:val="44"/>
        </w:rPr>
        <w:t>工作规程》的通知</w:t>
      </w:r>
    </w:p>
    <w:p w:rsidR="001B1D2A" w:rsidRDefault="001B1D2A" w:rsidP="00523BF9">
      <w:pPr>
        <w:ind w:right="49"/>
        <w:rPr>
          <w:rFonts w:ascii="仿宋_GB2312" w:eastAsia="仿宋_GB2312"/>
          <w:color w:val="000000" w:themeColor="text1"/>
          <w:w w:val="105"/>
          <w:sz w:val="32"/>
          <w:szCs w:val="32"/>
          <w:lang w:eastAsia="zh-CN"/>
        </w:rPr>
      </w:pPr>
    </w:p>
    <w:p w:rsidR="00202D86" w:rsidRPr="001B1D2A" w:rsidRDefault="0099165E" w:rsidP="00523BF9">
      <w:pPr>
        <w:ind w:right="49"/>
        <w:rPr>
          <w:rFonts w:ascii="仿宋_GB2312" w:eastAsia="仿宋_GB2312"/>
          <w:color w:val="000000" w:themeColor="text1"/>
          <w:w w:val="110"/>
          <w:sz w:val="32"/>
          <w:szCs w:val="32"/>
          <w:lang w:eastAsia="zh-CN"/>
        </w:rPr>
      </w:pPr>
      <w:r w:rsidRPr="001B1D2A">
        <w:rPr>
          <w:rFonts w:ascii="仿宋_GB2312" w:eastAsia="仿宋_GB2312" w:hint="eastAsia"/>
          <w:color w:val="000000" w:themeColor="text1"/>
          <w:w w:val="105"/>
          <w:sz w:val="32"/>
          <w:szCs w:val="32"/>
        </w:rPr>
        <w:t>各省、自治区、直辖市教育厅（教委）、教育督导部门，新疆</w:t>
      </w:r>
      <w:r w:rsidRPr="001B1D2A">
        <w:rPr>
          <w:rFonts w:ascii="仿宋_GB2312" w:eastAsia="仿宋_GB2312" w:hint="eastAsia"/>
          <w:color w:val="000000" w:themeColor="text1"/>
          <w:w w:val="110"/>
          <w:sz w:val="32"/>
          <w:szCs w:val="32"/>
        </w:rPr>
        <w:t>生产建设兵团教育局、教育督导部门：</w:t>
      </w:r>
    </w:p>
    <w:p w:rsidR="005E634C" w:rsidRPr="001B1D2A" w:rsidRDefault="0099165E" w:rsidP="00523BF9">
      <w:pPr>
        <w:ind w:firstLineChars="200" w:firstLine="670"/>
        <w:jc w:val="both"/>
        <w:rPr>
          <w:rFonts w:ascii="仿宋_GB2312" w:eastAsia="仿宋_GB2312"/>
          <w:color w:val="000000" w:themeColor="text1"/>
          <w:sz w:val="32"/>
          <w:szCs w:val="32"/>
        </w:rPr>
      </w:pPr>
      <w:r w:rsidRPr="001B1D2A">
        <w:rPr>
          <w:rFonts w:ascii="仿宋_GB2312" w:eastAsia="仿宋_GB2312" w:hint="eastAsia"/>
          <w:color w:val="000000" w:themeColor="text1"/>
          <w:w w:val="105"/>
          <w:sz w:val="32"/>
          <w:szCs w:val="32"/>
        </w:rPr>
        <w:t>为落实党中央、国务院的部署，根据《县域义务教育优质</w:t>
      </w:r>
      <w:r w:rsidRPr="001B1D2A">
        <w:rPr>
          <w:rFonts w:ascii="仿宋_GB2312" w:eastAsia="仿宋_GB2312" w:hint="eastAsia"/>
          <w:color w:val="000000" w:themeColor="text1"/>
          <w:spacing w:val="5"/>
          <w:w w:val="105"/>
          <w:sz w:val="32"/>
          <w:szCs w:val="32"/>
        </w:rPr>
        <w:t>均衡发展督导评估办法》</w:t>
      </w:r>
      <w:r w:rsidR="004D0439" w:rsidRPr="001B1D2A">
        <w:rPr>
          <w:rFonts w:ascii="仿宋_GB2312" w:eastAsia="仿宋_GB2312" w:hint="eastAsia"/>
          <w:color w:val="000000" w:themeColor="text1"/>
          <w:spacing w:val="5"/>
          <w:w w:val="105"/>
          <w:sz w:val="32"/>
          <w:szCs w:val="32"/>
          <w:lang w:eastAsia="zh-CN"/>
        </w:rPr>
        <w:t>（</w:t>
      </w:r>
      <w:r w:rsidRPr="001B1D2A">
        <w:rPr>
          <w:rFonts w:ascii="仿宋_GB2312" w:eastAsia="仿宋_GB2312" w:hint="eastAsia"/>
          <w:color w:val="000000" w:themeColor="text1"/>
          <w:spacing w:val="-10"/>
          <w:w w:val="105"/>
          <w:sz w:val="32"/>
          <w:szCs w:val="32"/>
        </w:rPr>
        <w:t>教督</w:t>
      </w:r>
      <w:r w:rsidR="004D0439" w:rsidRPr="001B1D2A">
        <w:rPr>
          <w:rFonts w:ascii="仿宋_GB2312" w:eastAsia="仿宋_GB2312" w:hint="eastAsia"/>
          <w:color w:val="000000" w:themeColor="text1"/>
          <w:spacing w:val="-15"/>
          <w:w w:val="95"/>
          <w:sz w:val="32"/>
          <w:szCs w:val="32"/>
        </w:rPr>
        <w:t>〔</w:t>
      </w:r>
      <w:r w:rsidRPr="001B1D2A">
        <w:rPr>
          <w:rFonts w:ascii="仿宋_GB2312" w:eastAsia="仿宋_GB2312" w:hint="eastAsia"/>
          <w:color w:val="000000" w:themeColor="text1"/>
          <w:w w:val="105"/>
          <w:sz w:val="32"/>
          <w:szCs w:val="32"/>
        </w:rPr>
        <w:t>2017</w:t>
      </w:r>
      <w:r w:rsidR="004D0439" w:rsidRPr="001B1D2A">
        <w:rPr>
          <w:rFonts w:ascii="仿宋_GB2312" w:eastAsia="仿宋_GB2312" w:hint="eastAsia"/>
          <w:color w:val="000000" w:themeColor="text1"/>
          <w:spacing w:val="-15"/>
          <w:w w:val="95"/>
          <w:sz w:val="32"/>
          <w:szCs w:val="32"/>
        </w:rPr>
        <w:t>〕</w:t>
      </w:r>
      <w:r w:rsidRPr="001B1D2A">
        <w:rPr>
          <w:rFonts w:ascii="仿宋_GB2312" w:eastAsia="仿宋_GB2312" w:hint="eastAsia"/>
          <w:color w:val="000000" w:themeColor="text1"/>
          <w:w w:val="105"/>
          <w:sz w:val="32"/>
          <w:szCs w:val="32"/>
        </w:rPr>
        <w:t>6</w:t>
      </w:r>
      <w:r w:rsidRPr="001B1D2A">
        <w:rPr>
          <w:rFonts w:ascii="仿宋_GB2312" w:eastAsia="仿宋_GB2312" w:hint="eastAsia"/>
          <w:color w:val="000000" w:themeColor="text1"/>
          <w:spacing w:val="-49"/>
          <w:w w:val="105"/>
          <w:sz w:val="32"/>
          <w:szCs w:val="32"/>
        </w:rPr>
        <w:t>号</w:t>
      </w:r>
      <w:r w:rsidRPr="001B1D2A">
        <w:rPr>
          <w:rFonts w:ascii="仿宋_GB2312" w:eastAsia="仿宋_GB2312" w:hint="eastAsia"/>
          <w:color w:val="000000" w:themeColor="text1"/>
          <w:w w:val="105"/>
          <w:sz w:val="32"/>
          <w:szCs w:val="32"/>
        </w:rPr>
        <w:t>）</w:t>
      </w:r>
      <w:r w:rsidRPr="001B1D2A">
        <w:rPr>
          <w:rFonts w:ascii="仿宋_GB2312" w:eastAsia="仿宋_GB2312" w:hint="eastAsia"/>
          <w:color w:val="000000" w:themeColor="text1"/>
          <w:spacing w:val="3"/>
          <w:w w:val="105"/>
          <w:sz w:val="32"/>
          <w:szCs w:val="32"/>
        </w:rPr>
        <w:t>和《国务院教育督导委员会办公室关于做好县域义务教育优质均衡发展督导</w:t>
      </w:r>
      <w:r w:rsidRPr="001B1D2A">
        <w:rPr>
          <w:rFonts w:ascii="仿宋_GB2312" w:eastAsia="仿宋_GB2312" w:hint="eastAsia"/>
          <w:color w:val="000000" w:themeColor="text1"/>
          <w:spacing w:val="8"/>
          <w:w w:val="105"/>
          <w:sz w:val="32"/>
          <w:szCs w:val="32"/>
        </w:rPr>
        <w:t>评估工作的通知》</w:t>
      </w:r>
      <w:r w:rsidR="004D0439" w:rsidRPr="001B1D2A">
        <w:rPr>
          <w:rFonts w:ascii="仿宋_GB2312" w:eastAsia="仿宋_GB2312" w:hint="eastAsia"/>
          <w:color w:val="000000" w:themeColor="text1"/>
          <w:spacing w:val="8"/>
          <w:w w:val="105"/>
          <w:sz w:val="32"/>
          <w:szCs w:val="32"/>
          <w:lang w:eastAsia="zh-CN"/>
        </w:rPr>
        <w:t>（</w:t>
      </w:r>
      <w:r w:rsidRPr="001B1D2A">
        <w:rPr>
          <w:rFonts w:ascii="仿宋_GB2312" w:eastAsia="仿宋_GB2312" w:hint="eastAsia"/>
          <w:color w:val="000000" w:themeColor="text1"/>
          <w:spacing w:val="-6"/>
          <w:w w:val="105"/>
          <w:sz w:val="32"/>
          <w:szCs w:val="32"/>
        </w:rPr>
        <w:t>国教督办函</w:t>
      </w:r>
      <w:r w:rsidR="004D0439" w:rsidRPr="001B1D2A">
        <w:rPr>
          <w:rFonts w:ascii="仿宋_GB2312" w:eastAsia="仿宋_GB2312" w:hint="eastAsia"/>
          <w:color w:val="000000" w:themeColor="text1"/>
          <w:spacing w:val="-15"/>
          <w:w w:val="95"/>
          <w:sz w:val="32"/>
          <w:szCs w:val="32"/>
        </w:rPr>
        <w:t>〔</w:t>
      </w:r>
      <w:r w:rsidR="004D0439" w:rsidRPr="001B1D2A">
        <w:rPr>
          <w:rFonts w:ascii="仿宋_GB2312" w:eastAsia="仿宋_GB2312" w:hint="eastAsia"/>
          <w:color w:val="000000" w:themeColor="text1"/>
          <w:w w:val="105"/>
          <w:sz w:val="32"/>
          <w:szCs w:val="32"/>
        </w:rPr>
        <w:t>2017</w:t>
      </w:r>
      <w:r w:rsidR="004D0439" w:rsidRPr="001B1D2A">
        <w:rPr>
          <w:rFonts w:ascii="仿宋_GB2312" w:eastAsia="仿宋_GB2312" w:hint="eastAsia"/>
          <w:color w:val="000000" w:themeColor="text1"/>
          <w:spacing w:val="-15"/>
          <w:w w:val="95"/>
          <w:sz w:val="32"/>
          <w:szCs w:val="32"/>
        </w:rPr>
        <w:t>〕</w:t>
      </w:r>
      <w:r w:rsidRPr="001B1D2A">
        <w:rPr>
          <w:rFonts w:ascii="仿宋_GB2312" w:eastAsia="仿宋_GB2312" w:hint="eastAsia"/>
          <w:color w:val="000000" w:themeColor="text1"/>
          <w:w w:val="105"/>
          <w:sz w:val="32"/>
          <w:szCs w:val="32"/>
        </w:rPr>
        <w:t>61</w:t>
      </w:r>
      <w:r w:rsidRPr="001B1D2A">
        <w:rPr>
          <w:rFonts w:ascii="仿宋_GB2312" w:eastAsia="仿宋_GB2312" w:hint="eastAsia"/>
          <w:color w:val="000000" w:themeColor="text1"/>
          <w:spacing w:val="-53"/>
          <w:w w:val="105"/>
          <w:sz w:val="32"/>
          <w:szCs w:val="32"/>
        </w:rPr>
        <w:t>号</w:t>
      </w:r>
      <w:r w:rsidRPr="001B1D2A">
        <w:rPr>
          <w:rFonts w:ascii="仿宋_GB2312" w:eastAsia="仿宋_GB2312" w:hint="eastAsia"/>
          <w:color w:val="000000" w:themeColor="text1"/>
          <w:w w:val="105"/>
          <w:sz w:val="32"/>
          <w:szCs w:val="32"/>
        </w:rPr>
        <w:t>）</w:t>
      </w:r>
      <w:r w:rsidRPr="001B1D2A">
        <w:rPr>
          <w:rFonts w:ascii="仿宋_GB2312" w:eastAsia="仿宋_GB2312" w:hint="eastAsia"/>
          <w:color w:val="000000" w:themeColor="text1"/>
          <w:spacing w:val="20"/>
          <w:w w:val="105"/>
          <w:sz w:val="32"/>
          <w:szCs w:val="32"/>
        </w:rPr>
        <w:t>规定</w:t>
      </w:r>
      <w:r w:rsidRPr="001B1D2A">
        <w:rPr>
          <w:rFonts w:ascii="仿宋_GB2312" w:eastAsia="仿宋_GB2312" w:hint="eastAsia"/>
          <w:color w:val="000000" w:themeColor="text1"/>
          <w:spacing w:val="-36"/>
          <w:w w:val="95"/>
          <w:sz w:val="32"/>
          <w:szCs w:val="32"/>
        </w:rPr>
        <w:t>，</w:t>
      </w:r>
      <w:r w:rsidRPr="001B1D2A">
        <w:rPr>
          <w:rFonts w:ascii="仿宋_GB2312" w:eastAsia="仿宋_GB2312" w:hint="eastAsia"/>
          <w:color w:val="000000" w:themeColor="text1"/>
          <w:spacing w:val="16"/>
          <w:w w:val="105"/>
          <w:sz w:val="32"/>
          <w:szCs w:val="32"/>
        </w:rPr>
        <w:t>我办制定了《县域义务教育优质均衡发展国家督导评估认定工作规程》，现印发给你们，请遵照执行。</w:t>
      </w:r>
    </w:p>
    <w:p w:rsidR="005E634C" w:rsidRPr="00202D86" w:rsidRDefault="00523BF9" w:rsidP="00523BF9">
      <w:pPr>
        <w:pStyle w:val="a3"/>
        <w:rPr>
          <w:rFonts w:ascii="仿宋_GB2312" w:eastAsia="仿宋_GB2312"/>
          <w:sz w:val="21"/>
        </w:rPr>
      </w:pPr>
      <w:r>
        <w:rPr>
          <w:rFonts w:ascii="仿宋_GB2312" w:eastAsia="仿宋_GB2312" w:hint="eastAsia"/>
          <w:noProof/>
          <w:lang w:eastAsia="zh-CN"/>
        </w:rPr>
        <w:drawing>
          <wp:anchor distT="0" distB="0" distL="0" distR="0" simplePos="0" relativeHeight="251653632" behindDoc="0" locked="0" layoutInCell="1" allowOverlap="1">
            <wp:simplePos x="0" y="0"/>
            <wp:positionH relativeFrom="page">
              <wp:posOffset>3135630</wp:posOffset>
            </wp:positionH>
            <wp:positionV relativeFrom="paragraph">
              <wp:posOffset>189230</wp:posOffset>
            </wp:positionV>
            <wp:extent cx="3304540" cy="1613535"/>
            <wp:effectExtent l="1905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3304540" cy="1613535"/>
                    </a:xfrm>
                    <a:prstGeom prst="rect">
                      <a:avLst/>
                    </a:prstGeom>
                  </pic:spPr>
                </pic:pic>
              </a:graphicData>
            </a:graphic>
          </wp:anchor>
        </w:drawing>
      </w:r>
      <w:r w:rsidR="0099165E" w:rsidRPr="00202D86">
        <w:rPr>
          <w:rFonts w:ascii="仿宋_GB2312" w:eastAsia="仿宋_GB2312" w:hint="eastAsia"/>
          <w:noProof/>
          <w:lang w:eastAsia="zh-CN"/>
        </w:rPr>
        <w:drawing>
          <wp:anchor distT="0" distB="0" distL="0" distR="0" simplePos="0" relativeHeight="251650560" behindDoc="0" locked="0" layoutInCell="1" allowOverlap="1">
            <wp:simplePos x="0" y="0"/>
            <wp:positionH relativeFrom="page">
              <wp:posOffset>1086838</wp:posOffset>
            </wp:positionH>
            <wp:positionV relativeFrom="paragraph">
              <wp:posOffset>1515352</wp:posOffset>
            </wp:positionV>
            <wp:extent cx="451316" cy="20726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51316" cy="207263"/>
                    </a:xfrm>
                    <a:prstGeom prst="rect">
                      <a:avLst/>
                    </a:prstGeom>
                  </pic:spPr>
                </pic:pic>
              </a:graphicData>
            </a:graphic>
          </wp:anchor>
        </w:drawing>
      </w:r>
      <w:r w:rsidR="0099165E" w:rsidRPr="00202D86">
        <w:rPr>
          <w:rFonts w:ascii="仿宋_GB2312" w:eastAsia="仿宋_GB2312" w:hint="eastAsia"/>
          <w:noProof/>
          <w:lang w:eastAsia="zh-CN"/>
        </w:rPr>
        <w:drawing>
          <wp:anchor distT="0" distB="0" distL="0" distR="0" simplePos="0" relativeHeight="251651584" behindDoc="0" locked="0" layoutInCell="1" allowOverlap="1">
            <wp:simplePos x="0" y="0"/>
            <wp:positionH relativeFrom="page">
              <wp:posOffset>1685209</wp:posOffset>
            </wp:positionH>
            <wp:positionV relativeFrom="paragraph">
              <wp:posOffset>1527558</wp:posOffset>
            </wp:positionV>
            <wp:extent cx="463514" cy="19507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63514" cy="195071"/>
                    </a:xfrm>
                    <a:prstGeom prst="rect">
                      <a:avLst/>
                    </a:prstGeom>
                  </pic:spPr>
                </pic:pic>
              </a:graphicData>
            </a:graphic>
          </wp:anchor>
        </w:drawing>
      </w:r>
      <w:r w:rsidR="0099165E" w:rsidRPr="00202D86">
        <w:rPr>
          <w:rFonts w:ascii="仿宋_GB2312" w:eastAsia="仿宋_GB2312" w:hint="eastAsia"/>
          <w:noProof/>
          <w:lang w:eastAsia="zh-CN"/>
        </w:rPr>
        <w:drawing>
          <wp:anchor distT="0" distB="0" distL="0" distR="0" simplePos="0" relativeHeight="251652608" behindDoc="0" locked="0" layoutInCell="1" allowOverlap="1">
            <wp:simplePos x="0" y="0"/>
            <wp:positionH relativeFrom="page">
              <wp:posOffset>2320216</wp:posOffset>
            </wp:positionH>
            <wp:positionV relativeFrom="paragraph">
              <wp:posOffset>1527558</wp:posOffset>
            </wp:positionV>
            <wp:extent cx="634283" cy="20726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634283" cy="207263"/>
                    </a:xfrm>
                    <a:prstGeom prst="rect">
                      <a:avLst/>
                    </a:prstGeom>
                  </pic:spPr>
                </pic:pic>
              </a:graphicData>
            </a:graphic>
          </wp:anchor>
        </w:drawing>
      </w:r>
    </w:p>
    <w:p w:rsidR="005E634C" w:rsidRPr="001B1D2A" w:rsidRDefault="006D5911" w:rsidP="00523BF9">
      <w:pPr>
        <w:ind w:firstLineChars="300" w:firstLine="900"/>
        <w:rPr>
          <w:rFonts w:ascii="仿宋_GB2312" w:eastAsia="仿宋_GB2312"/>
          <w:b/>
          <w:sz w:val="30"/>
          <w:szCs w:val="30"/>
        </w:rPr>
        <w:sectPr w:rsidR="005E634C" w:rsidRPr="001B1D2A" w:rsidSect="00202D86">
          <w:footerReference w:type="default" r:id="rId10"/>
          <w:type w:val="continuous"/>
          <w:pgSz w:w="11900" w:h="16840"/>
          <w:pgMar w:top="2098" w:right="1474" w:bottom="1928" w:left="1588" w:header="720" w:footer="720" w:gutter="0"/>
          <w:cols w:space="720"/>
          <w:docGrid w:linePitch="299"/>
        </w:sectPr>
      </w:pPr>
      <w:r w:rsidRPr="006D5911">
        <w:rPr>
          <w:color w:val="FF0000"/>
          <w:sz w:val="30"/>
          <w:szCs w:val="30"/>
        </w:rPr>
        <w:pict>
          <v:line id="_x0000_s1041" style="position:absolute;left:0;text-align:left;z-index:251656704;mso-position-horizontal-relative:page;mso-position-vertical-relative:page" from="82.9pt,732.5pt" to="520.4pt,732.5pt" strokecolor="red" strokeweight="1pt">
            <w10:wrap anchorx="page" anchory="page"/>
          </v:line>
        </w:pict>
      </w:r>
      <w:r w:rsidR="0099165E" w:rsidRPr="001B1D2A">
        <w:rPr>
          <w:rFonts w:ascii="仿宋_GB2312" w:eastAsia="仿宋_GB2312" w:hint="eastAsia"/>
          <w:b/>
          <w:color w:val="565659"/>
          <w:w w:val="105"/>
          <w:sz w:val="30"/>
          <w:szCs w:val="30"/>
        </w:rPr>
        <w:t>兵团办公厅</w:t>
      </w:r>
    </w:p>
    <w:p w:rsidR="005E634C" w:rsidRDefault="005E634C" w:rsidP="00523BF9">
      <w:pPr>
        <w:pStyle w:val="a3"/>
        <w:ind w:left="-1525"/>
        <w:rPr>
          <w:sz w:val="2"/>
        </w:rPr>
      </w:pPr>
    </w:p>
    <w:p w:rsidR="007225BC" w:rsidRPr="001B1D2A" w:rsidRDefault="0099165E" w:rsidP="00523BF9">
      <w:pPr>
        <w:jc w:val="center"/>
        <w:rPr>
          <w:rFonts w:ascii="方正小标宋简体" w:eastAsia="方正小标宋简体"/>
          <w:color w:val="000000" w:themeColor="text1"/>
          <w:spacing w:val="8"/>
          <w:w w:val="105"/>
          <w:sz w:val="44"/>
          <w:szCs w:val="44"/>
          <w:lang w:eastAsia="zh-CN"/>
        </w:rPr>
      </w:pPr>
      <w:r w:rsidRPr="001B1D2A">
        <w:rPr>
          <w:rFonts w:ascii="方正小标宋简体" w:eastAsia="方正小标宋简体" w:hint="eastAsia"/>
          <w:color w:val="000000" w:themeColor="text1"/>
          <w:w w:val="105"/>
          <w:sz w:val="44"/>
          <w:szCs w:val="44"/>
        </w:rPr>
        <w:t>县域</w:t>
      </w:r>
      <w:r w:rsidRPr="001B1D2A">
        <w:rPr>
          <w:rFonts w:ascii="方正小标宋简体" w:eastAsia="方正小标宋简体" w:hint="eastAsia"/>
          <w:color w:val="000000" w:themeColor="text1"/>
          <w:spacing w:val="8"/>
          <w:w w:val="105"/>
          <w:sz w:val="44"/>
          <w:szCs w:val="44"/>
        </w:rPr>
        <w:t>义务教育优质均衡发展</w:t>
      </w:r>
    </w:p>
    <w:p w:rsidR="001B1D2A" w:rsidRPr="001B1D2A" w:rsidRDefault="0099165E" w:rsidP="00523BF9">
      <w:pPr>
        <w:jc w:val="center"/>
        <w:rPr>
          <w:rFonts w:ascii="方正小标宋简体" w:eastAsia="方正小标宋简体"/>
          <w:color w:val="000000" w:themeColor="text1"/>
          <w:spacing w:val="8"/>
          <w:w w:val="105"/>
          <w:sz w:val="44"/>
          <w:szCs w:val="44"/>
          <w:lang w:eastAsia="zh-CN"/>
        </w:rPr>
      </w:pPr>
      <w:r w:rsidRPr="001B1D2A">
        <w:rPr>
          <w:rFonts w:ascii="方正小标宋简体" w:eastAsia="方正小标宋简体" w:hint="eastAsia"/>
          <w:color w:val="000000" w:themeColor="text1"/>
          <w:spacing w:val="8"/>
          <w:w w:val="105"/>
          <w:sz w:val="44"/>
          <w:szCs w:val="44"/>
        </w:rPr>
        <w:t>国家督导评估认定工作规程</w:t>
      </w:r>
    </w:p>
    <w:p w:rsidR="001B1D2A" w:rsidRPr="001B1D2A" w:rsidRDefault="001B1D2A" w:rsidP="00523BF9">
      <w:pPr>
        <w:jc w:val="center"/>
        <w:rPr>
          <w:rFonts w:ascii="仿宋_GB2312" w:eastAsia="仿宋_GB2312"/>
          <w:color w:val="000000" w:themeColor="text1"/>
          <w:sz w:val="32"/>
          <w:szCs w:val="32"/>
          <w:lang w:eastAsia="zh-CN"/>
        </w:rPr>
      </w:pPr>
    </w:p>
    <w:p w:rsidR="001B1D2A" w:rsidRPr="00523BF9" w:rsidRDefault="0099165E" w:rsidP="00523BF9">
      <w:pPr>
        <w:jc w:val="center"/>
        <w:rPr>
          <w:rFonts w:ascii="黑体" w:eastAsia="黑体" w:hAnsi="黑体"/>
          <w:color w:val="000000" w:themeColor="text1"/>
          <w:sz w:val="32"/>
          <w:szCs w:val="32"/>
          <w:lang w:eastAsia="zh-CN"/>
        </w:rPr>
      </w:pPr>
      <w:r w:rsidRPr="00523BF9">
        <w:rPr>
          <w:rFonts w:ascii="黑体" w:eastAsia="黑体" w:hAnsi="黑体" w:hint="eastAsia"/>
          <w:color w:val="000000" w:themeColor="text1"/>
          <w:sz w:val="32"/>
          <w:szCs w:val="32"/>
        </w:rPr>
        <w:t>第一章</w:t>
      </w:r>
      <w:r w:rsidR="007225BC" w:rsidRPr="00523BF9">
        <w:rPr>
          <w:rFonts w:ascii="黑体" w:eastAsia="黑体" w:hAnsi="黑体" w:hint="eastAsia"/>
          <w:color w:val="000000" w:themeColor="text1"/>
          <w:lang w:eastAsia="zh-CN"/>
        </w:rPr>
        <w:t xml:space="preserve">  </w:t>
      </w:r>
      <w:r w:rsidRPr="00523BF9">
        <w:rPr>
          <w:rFonts w:ascii="黑体" w:eastAsia="黑体" w:hAnsi="黑体" w:hint="eastAsia"/>
          <w:color w:val="000000" w:themeColor="text1"/>
          <w:sz w:val="32"/>
          <w:szCs w:val="32"/>
        </w:rPr>
        <w:t>总</w:t>
      </w:r>
      <w:r w:rsidR="001B1D2A" w:rsidRPr="00523BF9">
        <w:rPr>
          <w:rFonts w:ascii="黑体" w:eastAsia="黑体" w:hAnsi="黑体" w:hint="eastAsia"/>
          <w:color w:val="000000" w:themeColor="text1"/>
          <w:lang w:eastAsia="zh-CN"/>
        </w:rPr>
        <w:t xml:space="preserve">  </w:t>
      </w:r>
      <w:r w:rsidRPr="00523BF9">
        <w:rPr>
          <w:rFonts w:ascii="黑体" w:eastAsia="黑体" w:hAnsi="黑体" w:hint="eastAsia"/>
          <w:color w:val="000000" w:themeColor="text1"/>
          <w:sz w:val="32"/>
          <w:szCs w:val="32"/>
        </w:rPr>
        <w:t>则</w:t>
      </w:r>
    </w:p>
    <w:p w:rsidR="001B1D2A" w:rsidRPr="001B1D2A" w:rsidRDefault="001B1D2A" w:rsidP="00523BF9">
      <w:pPr>
        <w:jc w:val="center"/>
        <w:rPr>
          <w:rFonts w:ascii="仿宋_GB2312" w:eastAsia="仿宋_GB2312"/>
          <w:color w:val="000000" w:themeColor="text1"/>
          <w:lang w:eastAsia="zh-CN"/>
        </w:rPr>
      </w:pP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第一条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为做好县域义务教育优质均衡发展国家督导评估认定工作，规范程序，严格标准，提高科学性、可操作性和实效性，引导各地推进义务教育优质均衡发展县（市、区）（含不设区的市、市辖区、开发区等其他县级行政区划单位，以下简称”县")创建工作，依据《教育督导条例》《县域义务教育优质均衡发展督导评估办法》，制定本规程。</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笫二条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义务教育优质均衡发展县的督导评估认定工作（以下简称</w:t>
      </w:r>
      <w:r w:rsidR="00160B3A">
        <w:rPr>
          <w:rFonts w:ascii="仿宋_GB2312" w:eastAsia="仿宋_GB2312" w:hint="eastAsia"/>
          <w:color w:val="000000" w:themeColor="text1"/>
          <w:lang w:eastAsia="zh-CN"/>
        </w:rPr>
        <w:t>“</w:t>
      </w:r>
      <w:r w:rsidRPr="001B1D2A">
        <w:rPr>
          <w:rFonts w:ascii="仿宋_GB2312" w:eastAsia="仿宋_GB2312" w:hint="eastAsia"/>
          <w:color w:val="000000" w:themeColor="text1"/>
        </w:rPr>
        <w:t>国家评估认定工作</w:t>
      </w:r>
      <w:r w:rsidR="00160B3A" w:rsidRPr="001B1D2A">
        <w:rPr>
          <w:rFonts w:ascii="仿宋_GB2312" w:eastAsia="仿宋_GB2312" w:hint="eastAsia"/>
          <w:color w:val="000000" w:themeColor="text1"/>
        </w:rPr>
        <w:t>”</w:t>
      </w:r>
      <w:r w:rsidRPr="001B1D2A">
        <w:rPr>
          <w:rFonts w:ascii="仿宋_GB2312" w:eastAsia="仿宋_GB2312" w:hint="eastAsia"/>
          <w:color w:val="000000" w:themeColor="text1"/>
        </w:rPr>
        <w:t>)由国务院教育督导委员会办公室负责组织实施。</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笫三条</w:t>
      </w:r>
      <w:r w:rsidR="007225BC" w:rsidRPr="001B1D2A">
        <w:rPr>
          <w:rFonts w:ascii="仿宋_GB2312" w:eastAsia="仿宋_GB2312" w:hint="eastAsia"/>
          <w:color w:val="000000" w:themeColor="text1"/>
          <w:lang w:eastAsia="zh-CN"/>
        </w:rPr>
        <w:t xml:space="preserve"> </w:t>
      </w:r>
      <w:r w:rsidR="001B1D2A" w:rsidRPr="001B1D2A">
        <w:rPr>
          <w:rFonts w:ascii="仿宋_GB2312" w:eastAsia="仿宋_GB2312" w:hint="eastAsia"/>
          <w:color w:val="000000" w:themeColor="text1"/>
          <w:lang w:eastAsia="zh-CN"/>
        </w:rPr>
        <w:t xml:space="preserve"> </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ab/>
        <w:t>优质均衡发展国家评估认定工作坚持以下原则：</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（一）重硬件，更重软件。评估每一所义务教育学校达到全国统一标准的同时，重点考察加强教师队伍建设和学校管理、提高教育教学质量等情况。</w:t>
      </w:r>
    </w:p>
    <w:p w:rsidR="00202D86" w:rsidRPr="001B1D2A" w:rsidRDefault="006D5911" w:rsidP="00523BF9">
      <w:pPr>
        <w:pStyle w:val="a3"/>
        <w:ind w:firstLine="645"/>
        <w:jc w:val="both"/>
        <w:rPr>
          <w:rFonts w:ascii="仿宋_GB2312" w:eastAsia="仿宋_GB2312"/>
          <w:color w:val="000000" w:themeColor="text1"/>
          <w:lang w:eastAsia="zh-CN"/>
        </w:rPr>
      </w:pPr>
      <w:r>
        <w:rPr>
          <w:rFonts w:ascii="仿宋_GB2312" w:eastAsia="仿宋_GB2312"/>
          <w:color w:val="000000" w:themeColor="text1"/>
        </w:rPr>
        <w:pict>
          <v:shapetype id="_x0000_t202" coordsize="21600,21600" o:spt="202" path="m,l,21600r21600,l21600,xe">
            <v:stroke joinstyle="miter"/>
            <v:path gradientshapeok="t" o:connecttype="rect"/>
          </v:shapetype>
          <v:shape id="_x0000_s1036" type="#_x0000_t202" style="position:absolute;left:0;text-align:left;margin-left:590.85pt;margin-top:31.75pt;width:3.55pt;height:9.55pt;z-index:251657728;mso-position-horizontal-relative:page" filled="f" stroked="f">
            <v:textbox style="layout-flow:vertical-ideographic" inset="0,0,0,0">
              <w:txbxContent>
                <w:p w:rsidR="005E634C" w:rsidRDefault="0099165E">
                  <w:pPr>
                    <w:spacing w:line="168" w:lineRule="auto"/>
                    <w:ind w:left="20"/>
                    <w:rPr>
                      <w:sz w:val="6"/>
                    </w:rPr>
                  </w:pPr>
                  <w:r>
                    <w:rPr>
                      <w:color w:val="9599A8"/>
                      <w:w w:val="99"/>
                      <w:sz w:val="6"/>
                    </w:rPr>
                    <w:t>-</w:t>
                  </w:r>
                  <w:r>
                    <w:rPr>
                      <w:color w:val="C3C6CA"/>
                      <w:w w:val="99"/>
                      <w:sz w:val="6"/>
                    </w:rPr>
                    <w:t>J</w:t>
                  </w:r>
                </w:p>
              </w:txbxContent>
            </v:textbox>
            <w10:wrap anchorx="page"/>
          </v:shape>
        </w:pict>
      </w:r>
      <w:r w:rsidR="0099165E" w:rsidRPr="001B1D2A">
        <w:rPr>
          <w:rFonts w:ascii="仿宋_GB2312" w:eastAsia="仿宋_GB2312" w:hint="eastAsia"/>
          <w:color w:val="000000" w:themeColor="text1"/>
        </w:rPr>
        <w:t>（二）重指标合格，更重群众满意。评估申报县各项指标达到县域义务教育优质均衡发展督导评估标准的同时，重点调查当地人民群众对义务教育优质均衡发展的认可程度。</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AnsiTheme="minorEastAsia" w:hint="eastAsia"/>
          <w:color w:val="000000" w:themeColor="text1"/>
        </w:rPr>
        <w:t>（三）重数量，更重质量。按照《中国教育现代化2035》提出的总体进度推进优质均衡发展工作的同时，更注重严格</w:t>
      </w:r>
      <w:r w:rsidRPr="001B1D2A">
        <w:rPr>
          <w:rFonts w:ascii="仿宋_GB2312" w:eastAsia="仿宋_GB2312" w:hint="eastAsia"/>
          <w:color w:val="000000" w:themeColor="text1"/>
        </w:rPr>
        <w:t>标准，严把质量，以质量均衡为核心，成熟一个，认定一个。具体进度由各省（自治区、直辖市）自主确定。</w:t>
      </w:r>
    </w:p>
    <w:p w:rsidR="001B1D2A"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第四条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国家评估认定工作包括资格审核、社会认可度调查、指标审核、实地核查、结果认定五个流程，依次进行。在资格审核、社会认可度调查、指标审核、实地核查流程中，如发现存在未达到《县域义务教育优质均衡发展督导评估办法》</w:t>
      </w:r>
      <w:r w:rsidRPr="001B1D2A">
        <w:rPr>
          <w:rFonts w:ascii="仿宋_GB2312" w:eastAsia="仿宋_GB2312" w:hint="eastAsia"/>
          <w:color w:val="000000" w:themeColor="text1"/>
        </w:rPr>
        <w:lastRenderedPageBreak/>
        <w:t>规定标准要求的情况，国务院教育督导委员会办公室即终止对该县当年的评估认定工作，同时终止对该县所在省（自治区、直辖市）当年的评估认定工作。</w:t>
      </w:r>
    </w:p>
    <w:p w:rsidR="001B1D2A" w:rsidRPr="001B1D2A" w:rsidRDefault="001B1D2A" w:rsidP="00523BF9">
      <w:pPr>
        <w:pStyle w:val="a3"/>
        <w:ind w:firstLine="645"/>
        <w:jc w:val="both"/>
        <w:rPr>
          <w:rFonts w:ascii="仿宋_GB2312" w:eastAsia="仿宋_GB2312"/>
          <w:color w:val="000000" w:themeColor="text1"/>
          <w:lang w:eastAsia="zh-CN"/>
        </w:rPr>
      </w:pPr>
    </w:p>
    <w:p w:rsidR="001B1D2A" w:rsidRPr="00523BF9" w:rsidRDefault="0099165E" w:rsidP="00523BF9">
      <w:pPr>
        <w:pStyle w:val="a3"/>
        <w:jc w:val="center"/>
        <w:rPr>
          <w:rFonts w:ascii="黑体" w:eastAsia="黑体" w:hAnsi="黑体"/>
          <w:color w:val="000000" w:themeColor="text1"/>
          <w:lang w:eastAsia="zh-CN"/>
        </w:rPr>
      </w:pPr>
      <w:r w:rsidRPr="00523BF9">
        <w:rPr>
          <w:rFonts w:ascii="黑体" w:eastAsia="黑体" w:hAnsi="黑体" w:hint="eastAsia"/>
          <w:color w:val="000000" w:themeColor="text1"/>
        </w:rPr>
        <w:t>第二章</w:t>
      </w:r>
      <w:r w:rsidR="007225BC" w:rsidRPr="00523BF9">
        <w:rPr>
          <w:rFonts w:ascii="黑体" w:eastAsia="黑体" w:hAnsi="黑体" w:hint="eastAsia"/>
          <w:color w:val="000000" w:themeColor="text1"/>
          <w:lang w:eastAsia="zh-CN"/>
        </w:rPr>
        <w:t xml:space="preserve">  </w:t>
      </w:r>
      <w:r w:rsidRPr="00523BF9">
        <w:rPr>
          <w:rFonts w:ascii="黑体" w:eastAsia="黑体" w:hAnsi="黑体" w:hint="eastAsia"/>
          <w:color w:val="000000" w:themeColor="text1"/>
        </w:rPr>
        <w:t>资格审核</w:t>
      </w:r>
    </w:p>
    <w:p w:rsidR="001B1D2A" w:rsidRPr="001B1D2A" w:rsidRDefault="001B1D2A" w:rsidP="00523BF9">
      <w:pPr>
        <w:pStyle w:val="a3"/>
        <w:jc w:val="center"/>
        <w:rPr>
          <w:rFonts w:ascii="仿宋_GB2312" w:eastAsia="仿宋_GB2312"/>
          <w:color w:val="000000" w:themeColor="text1"/>
          <w:lang w:eastAsia="zh-CN"/>
        </w:rPr>
      </w:pP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笫五条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国务院教育督导委员会办公室根据各省（自治区、直辖市）申请，组织专家或委托专门机构对有关申报县进行资格审核。</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笫六条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申报县达到以下条件，方可通过资格审核：</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（一）通过国家义务教育基本均衡发展认定三年以上；</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（二）申报前三年未发生义务教育基本均衡规定指标不达标现象，其中，对小学、初中差异系数要求不超过0.60、0.50;</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（三）在国家或省级义务教育质量监测中，相关科目的学生学业水平达到III级以上，且校际差异率低于0.15;</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（四）按义务教育优质均衡规定指标测算的小学、初中差异系数分别不高于0.50、0.45;</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（五）申报当年该县教育系统未发生重大安全责任事故或严重违法违纪违规事件，未发生”校闹”、社会舆论关注或人民群众反映强烈的突出问题。</w:t>
      </w:r>
    </w:p>
    <w:p w:rsidR="00202D86" w:rsidRPr="001B1D2A" w:rsidRDefault="0099165E" w:rsidP="00523BF9">
      <w:pPr>
        <w:pStyle w:val="a3"/>
        <w:ind w:firstLine="645"/>
        <w:jc w:val="both"/>
        <w:rPr>
          <w:rFonts w:ascii="仿宋_GB2312" w:eastAsia="仿宋_GB2312"/>
          <w:color w:val="000000" w:themeColor="text1"/>
          <w:lang w:eastAsia="zh-CN"/>
        </w:rPr>
      </w:pPr>
      <w:r w:rsidRPr="001B1D2A">
        <w:rPr>
          <w:rFonts w:ascii="仿宋_GB2312" w:eastAsia="仿宋_GB2312" w:hint="eastAsia"/>
          <w:color w:val="000000" w:themeColor="text1"/>
        </w:rPr>
        <w:t>笫七条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国务院教育督导委员会办公室与申请省（自治区、直辖市）核对后，确定资格审核结论意见。</w:t>
      </w:r>
    </w:p>
    <w:p w:rsidR="001B1D2A" w:rsidRPr="001B1D2A" w:rsidRDefault="001B1D2A" w:rsidP="00523BF9">
      <w:pPr>
        <w:pStyle w:val="a3"/>
        <w:ind w:firstLine="645"/>
        <w:jc w:val="both"/>
        <w:rPr>
          <w:rFonts w:ascii="仿宋_GB2312" w:eastAsia="仿宋_GB2312"/>
          <w:color w:val="000000" w:themeColor="text1"/>
          <w:lang w:eastAsia="zh-CN"/>
        </w:rPr>
      </w:pPr>
    </w:p>
    <w:p w:rsidR="00202D86" w:rsidRPr="00523BF9" w:rsidRDefault="0099165E" w:rsidP="00523BF9">
      <w:pPr>
        <w:pStyle w:val="a3"/>
        <w:jc w:val="center"/>
        <w:rPr>
          <w:rFonts w:ascii="黑体" w:eastAsia="黑体" w:hAnsi="黑体"/>
          <w:color w:val="000000" w:themeColor="text1"/>
          <w:lang w:eastAsia="zh-CN"/>
        </w:rPr>
      </w:pPr>
      <w:r w:rsidRPr="00523BF9">
        <w:rPr>
          <w:rFonts w:ascii="黑体" w:eastAsia="黑体" w:hAnsi="黑体" w:hint="eastAsia"/>
          <w:color w:val="000000" w:themeColor="text1"/>
        </w:rPr>
        <w:t>第三章</w:t>
      </w:r>
      <w:r w:rsidR="007225BC" w:rsidRPr="00523BF9">
        <w:rPr>
          <w:rFonts w:ascii="黑体" w:eastAsia="黑体" w:hAnsi="黑体" w:hint="eastAsia"/>
          <w:color w:val="000000" w:themeColor="text1"/>
          <w:lang w:eastAsia="zh-CN"/>
        </w:rPr>
        <w:t xml:space="preserve">  </w:t>
      </w:r>
      <w:r w:rsidRPr="00523BF9">
        <w:rPr>
          <w:rFonts w:ascii="黑体" w:eastAsia="黑体" w:hAnsi="黑体" w:hint="eastAsia"/>
          <w:color w:val="000000" w:themeColor="text1"/>
        </w:rPr>
        <w:t>社会认可度调查</w:t>
      </w:r>
    </w:p>
    <w:p w:rsidR="001B1D2A" w:rsidRPr="001B1D2A" w:rsidRDefault="001B1D2A" w:rsidP="00523BF9">
      <w:pPr>
        <w:pStyle w:val="a3"/>
        <w:jc w:val="center"/>
        <w:rPr>
          <w:rFonts w:ascii="仿宋_GB2312" w:eastAsia="仿宋_GB2312"/>
          <w:color w:val="000000" w:themeColor="text1"/>
          <w:lang w:eastAsia="zh-CN"/>
        </w:rPr>
      </w:pPr>
    </w:p>
    <w:p w:rsidR="00202D86" w:rsidRPr="001B1D2A" w:rsidRDefault="0099165E" w:rsidP="00523BF9">
      <w:pPr>
        <w:pStyle w:val="a3"/>
        <w:ind w:firstLineChars="200" w:firstLine="640"/>
        <w:jc w:val="both"/>
        <w:rPr>
          <w:rFonts w:ascii="仿宋_GB2312" w:eastAsia="仿宋_GB2312"/>
          <w:color w:val="000000" w:themeColor="text1"/>
          <w:lang w:eastAsia="zh-CN"/>
        </w:rPr>
      </w:pPr>
      <w:r w:rsidRPr="001B1D2A">
        <w:rPr>
          <w:rFonts w:ascii="仿宋_GB2312" w:eastAsia="仿宋_GB2312" w:hint="eastAsia"/>
          <w:color w:val="000000" w:themeColor="text1"/>
        </w:rPr>
        <w:t>第八条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国务院教育督导委员会办公室研制社会认可度调查问卷，研发调查软件平台工具，委托专业机构，组织对通过资格审核的申报县进行社会认可度调查。</w:t>
      </w:r>
    </w:p>
    <w:p w:rsidR="00202D86" w:rsidRPr="001B1D2A" w:rsidRDefault="0099165E" w:rsidP="00523BF9">
      <w:pPr>
        <w:pStyle w:val="a3"/>
        <w:ind w:firstLineChars="200" w:firstLine="640"/>
        <w:jc w:val="both"/>
        <w:rPr>
          <w:rFonts w:ascii="仿宋_GB2312" w:eastAsia="仿宋_GB2312"/>
          <w:color w:val="000000" w:themeColor="text1"/>
          <w:lang w:eastAsia="zh-CN"/>
        </w:rPr>
      </w:pPr>
      <w:r w:rsidRPr="001B1D2A">
        <w:rPr>
          <w:rFonts w:ascii="仿宋_GB2312" w:eastAsia="仿宋_GB2312" w:hint="eastAsia"/>
          <w:color w:val="000000" w:themeColor="text1"/>
        </w:rPr>
        <w:t>笫九条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社会认可度调查的主要内容包括：县级人民政府及有关职能部门落实教育公平政策、推动优质资源共享等情况，</w:t>
      </w:r>
      <w:r w:rsidRPr="001B1D2A">
        <w:rPr>
          <w:rFonts w:ascii="仿宋_GB2312" w:eastAsia="仿宋_GB2312" w:hint="eastAsia"/>
          <w:color w:val="000000" w:themeColor="text1"/>
        </w:rPr>
        <w:lastRenderedPageBreak/>
        <w:t>义务教育学校规范办学行为、实施素质教育、考试评估制度改革、提高教育质量等情况。</w:t>
      </w:r>
    </w:p>
    <w:p w:rsidR="00202D86" w:rsidRPr="001B1D2A" w:rsidRDefault="0099165E" w:rsidP="00523BF9">
      <w:pPr>
        <w:pStyle w:val="a3"/>
        <w:ind w:firstLineChars="200" w:firstLine="640"/>
        <w:jc w:val="both"/>
        <w:rPr>
          <w:rFonts w:ascii="仿宋_GB2312" w:eastAsia="仿宋_GB2312"/>
          <w:color w:val="000000" w:themeColor="text1"/>
          <w:lang w:eastAsia="zh-CN"/>
        </w:rPr>
      </w:pPr>
      <w:r w:rsidRPr="001B1D2A">
        <w:rPr>
          <w:rFonts w:ascii="仿宋_GB2312" w:eastAsia="仿宋_GB2312" w:hint="eastAsia"/>
          <w:color w:val="000000" w:themeColor="text1"/>
        </w:rPr>
        <w:t>第十条</w:t>
      </w:r>
      <w:r w:rsidRPr="001B1D2A">
        <w:rPr>
          <w:rFonts w:ascii="仿宋_GB2312" w:eastAsia="仿宋_GB2312" w:hint="eastAsia"/>
          <w:color w:val="000000" w:themeColor="text1"/>
        </w:rPr>
        <w:tab/>
      </w:r>
      <w:r w:rsidR="001B1D2A"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社会认可度调查对象包括：家长、教师、校长、人大代表、政协委员、学生及其他群众。调查采用抽样方式进行，抽样数量一般按申报县常住人口的1.5%。确定。调查对象中，家长的比例原则上不低于50%,其他各类调查对象数量大体相当。</w:t>
      </w:r>
    </w:p>
    <w:p w:rsidR="001B1D2A" w:rsidRPr="001B1D2A" w:rsidRDefault="001B1D2A" w:rsidP="00523BF9">
      <w:pPr>
        <w:pStyle w:val="a3"/>
        <w:ind w:firstLineChars="200" w:firstLine="640"/>
        <w:jc w:val="both"/>
        <w:rPr>
          <w:rFonts w:ascii="仿宋_GB2312" w:eastAsia="仿宋_GB2312"/>
          <w:color w:val="000000" w:themeColor="text1"/>
          <w:lang w:eastAsia="zh-CN"/>
        </w:rPr>
      </w:pPr>
    </w:p>
    <w:p w:rsidR="00202D86" w:rsidRPr="00523BF9" w:rsidRDefault="0099165E" w:rsidP="00523BF9">
      <w:pPr>
        <w:pStyle w:val="a3"/>
        <w:jc w:val="center"/>
        <w:rPr>
          <w:rFonts w:ascii="黑体" w:eastAsia="黑体" w:hAnsi="黑体"/>
          <w:color w:val="000000" w:themeColor="text1"/>
          <w:lang w:eastAsia="zh-CN"/>
        </w:rPr>
      </w:pPr>
      <w:r w:rsidRPr="00523BF9">
        <w:rPr>
          <w:rFonts w:ascii="黑体" w:eastAsia="黑体" w:hAnsi="黑体" w:hint="eastAsia"/>
          <w:color w:val="000000" w:themeColor="text1"/>
        </w:rPr>
        <w:t>第四章</w:t>
      </w:r>
      <w:r w:rsidR="007225BC" w:rsidRPr="00523BF9">
        <w:rPr>
          <w:rFonts w:ascii="黑体" w:eastAsia="黑体" w:hAnsi="黑体" w:hint="eastAsia"/>
          <w:color w:val="000000" w:themeColor="text1"/>
          <w:lang w:eastAsia="zh-CN"/>
        </w:rPr>
        <w:t xml:space="preserve">  </w:t>
      </w:r>
      <w:r w:rsidRPr="00523BF9">
        <w:rPr>
          <w:rFonts w:ascii="黑体" w:eastAsia="黑体" w:hAnsi="黑体" w:hint="eastAsia"/>
          <w:color w:val="000000" w:themeColor="text1"/>
        </w:rPr>
        <w:t>指标审核</w:t>
      </w:r>
    </w:p>
    <w:p w:rsidR="001B1D2A" w:rsidRPr="001B1D2A" w:rsidRDefault="001B1D2A" w:rsidP="00523BF9">
      <w:pPr>
        <w:pStyle w:val="a3"/>
        <w:jc w:val="center"/>
        <w:rPr>
          <w:rFonts w:ascii="仿宋_GB2312" w:eastAsia="仿宋_GB2312"/>
          <w:color w:val="000000" w:themeColor="text1"/>
          <w:lang w:eastAsia="zh-CN"/>
        </w:rPr>
      </w:pPr>
    </w:p>
    <w:p w:rsidR="00202D86" w:rsidRPr="001B1D2A" w:rsidRDefault="0099165E" w:rsidP="00523BF9">
      <w:pPr>
        <w:pStyle w:val="a3"/>
        <w:ind w:firstLine="630"/>
        <w:jc w:val="center"/>
        <w:rPr>
          <w:rFonts w:ascii="仿宋_GB2312" w:eastAsia="仿宋_GB2312"/>
          <w:color w:val="000000" w:themeColor="text1"/>
          <w:lang w:eastAsia="zh-CN"/>
        </w:rPr>
      </w:pPr>
      <w:r w:rsidRPr="001B1D2A">
        <w:rPr>
          <w:rFonts w:ascii="仿宋_GB2312" w:eastAsia="仿宋_GB2312" w:hint="eastAsia"/>
          <w:color w:val="000000" w:themeColor="text1"/>
        </w:rPr>
        <w:t>第十一条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国务院教育督导委员会办公室组织匡家督学和专家对社会认可度调查结果符合要求的申报县进行指标审核。</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笫十二条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指标审核执行《县域义务教育优质均衡发展督导评估办法》规定的标准。具体要求如下：</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（一）对于一个独立代码、一个独立法人、但有多个校区的“学校”，以独立校区为统计单位。其中，对于教师在多校区上课的，记入其人事档案管理所在校区；</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（二）除“平均工资收入水平”、"县级教育行政部门在核定的教职工编制总额和岗位总量内，统筹分配各校教职工编制和岗位数量”、“教师交流轮岗比例”外，其他指标均包含县域内民办学校；</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（三）职业学校不得附设普通小学班、初中班；</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（四）统计体育、艺术（美术、音乐）专任教师数时，对</w:t>
      </w:r>
      <w:r w:rsidRPr="001B1D2A">
        <w:rPr>
          <w:rFonts w:ascii="仿宋_GB2312" w:eastAsia="仿宋_GB2312" w:hAnsi="Times New Roman" w:hint="eastAsia"/>
          <w:color w:val="000000" w:themeColor="text1"/>
        </w:rPr>
        <w:t>50</w:t>
      </w:r>
      <w:r w:rsidRPr="001B1D2A">
        <w:rPr>
          <w:rFonts w:ascii="仿宋_GB2312" w:eastAsia="仿宋_GB2312" w:hint="eastAsia"/>
          <w:color w:val="000000" w:themeColor="text1"/>
        </w:rPr>
        <w:t>人及以上但不足</w:t>
      </w:r>
      <w:r w:rsidRPr="001B1D2A">
        <w:rPr>
          <w:rFonts w:ascii="仿宋_GB2312" w:eastAsia="仿宋_GB2312" w:hAnsi="Times New Roman" w:hint="eastAsia"/>
          <w:color w:val="000000" w:themeColor="text1"/>
        </w:rPr>
        <w:t>100</w:t>
      </w:r>
      <w:r w:rsidRPr="001B1D2A">
        <w:rPr>
          <w:rFonts w:ascii="仿宋_GB2312" w:eastAsia="仿宋_GB2312" w:hint="eastAsia"/>
          <w:color w:val="000000" w:themeColor="text1"/>
        </w:rPr>
        <w:t>人的农村小规模学校和教学点，可包含交流轮岗、兼职、走教的体育和艺术（美术、音乐）教师；</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五）近三年评估中，对于人口密度过高的大城市中心城区的学校，体育运动场馆面积可包括经改造（改建）后，能够满足学生运动需要的、专用的、安全的活动空间，如校园内部的地下、楼顶等区域设立的专用运动场地，由当地政府或教育部门与之签订了租赁合同、保障学校上课时间专用的校外周边</w:t>
      </w:r>
      <w:r w:rsidRPr="001B1D2A">
        <w:rPr>
          <w:rFonts w:ascii="仿宋_GB2312" w:eastAsia="仿宋_GB2312" w:hint="eastAsia"/>
          <w:color w:val="000000" w:themeColor="text1"/>
        </w:rPr>
        <w:lastRenderedPageBreak/>
        <w:t>体育场馆（可步行10分钟内到达，且有安全的交通保证）；</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六）近三年评估中，对于在2016年及之前规划并建成的学校，其音乐、美术专用教室单间使用面积按分别不低于73、67平方米评估；对于最大班额低于30人的农村小规模学校，按照小学音乐、美术教室单间使用面积均不低于54平方米、初中均不低于61平方米评估。同时要求各地做出建设规划，评估后持续跟踪复查，认定后三年之内达到规定标准要求；</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七）近三年评估中，对于2010年及之前规划并建成的学校，以及进城务工人员随迁子女占比超过50%的学校，其学校规模按小学、初中均不超过2400人、九年一贯制学校不超过3000人评估。同时要求各地做出建设规划，评估后持续跟踪复查，认定后三年之内达到规定标准要求；</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（八）对全县义务教育学校教师平均工资收入水平和当地公务员平均工资收入水平，按《国务院办公厅关于进一步保障义务教育教师工资待遇的通知》（国办发</w:t>
      </w:r>
      <w:r w:rsidR="00C44B6B" w:rsidRPr="00C44B6B">
        <w:rPr>
          <w:rFonts w:ascii="仿宋_GB2312" w:eastAsia="仿宋_GB2312" w:hAnsi="Helvetica" w:cs="Helvetica" w:hint="eastAsia"/>
          <w:color w:val="333333"/>
          <w:shd w:val="clear" w:color="auto" w:fill="FFFFFF"/>
        </w:rPr>
        <w:t>〔2018〕</w:t>
      </w:r>
      <w:r w:rsidRPr="001B1D2A">
        <w:rPr>
          <w:rFonts w:ascii="仿宋_GB2312" w:eastAsia="仿宋_GB2312" w:hint="eastAsia"/>
          <w:color w:val="000000" w:themeColor="text1"/>
        </w:rPr>
        <w:t>89号）文件规定口径测算；</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九）注重对德育、体育、美育、劳动教育的评估。对于劳动教育，重点审核是否有满足劳动教育需要的实践基地和场所、是否全面开设劳动课且劳动实践时间不少千综合实践活动课时的50%、是否为学校配备专兼职相结合的劳动教育教师。</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第十三条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国务院教育督导委员会办公室根据指标审核情况，形成各项指标达标情况结论，并对是否通过材料审核提出结论意见。</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对于通过材料审核需要进行实地核查的县，列出”实地核查重点事项清单”，主要包括以下内容：</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（一）定量指标原始数据或测算方法存在疑问的；</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（二）定性指标信息不充分，不足以形成认定结论的；</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（三）不同渠递信息存在不一致，需要进行实地核实的；</w:t>
      </w:r>
    </w:p>
    <w:p w:rsidR="001B1D2A"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（四）其他审核组认为有必要进行实地核实的。</w:t>
      </w:r>
    </w:p>
    <w:p w:rsidR="001B1D2A" w:rsidRPr="001B1D2A" w:rsidRDefault="001B1D2A" w:rsidP="00523BF9">
      <w:pPr>
        <w:pStyle w:val="a3"/>
        <w:ind w:firstLine="630"/>
        <w:jc w:val="both"/>
        <w:rPr>
          <w:rFonts w:ascii="仿宋_GB2312" w:eastAsia="仿宋_GB2312"/>
          <w:color w:val="000000" w:themeColor="text1"/>
          <w:lang w:eastAsia="zh-CN"/>
        </w:rPr>
      </w:pPr>
    </w:p>
    <w:p w:rsidR="00202D86" w:rsidRPr="00523BF9" w:rsidRDefault="0099165E" w:rsidP="00523BF9">
      <w:pPr>
        <w:pStyle w:val="a3"/>
        <w:jc w:val="center"/>
        <w:rPr>
          <w:rFonts w:ascii="黑体" w:eastAsia="黑体" w:hAnsi="黑体"/>
          <w:color w:val="000000" w:themeColor="text1"/>
          <w:lang w:eastAsia="zh-CN"/>
        </w:rPr>
      </w:pPr>
      <w:r w:rsidRPr="00523BF9">
        <w:rPr>
          <w:rFonts w:ascii="黑体" w:eastAsia="黑体" w:hAnsi="黑体" w:hint="eastAsia"/>
          <w:color w:val="000000" w:themeColor="text1"/>
        </w:rPr>
        <w:lastRenderedPageBreak/>
        <w:t>第五章</w:t>
      </w:r>
      <w:r w:rsidR="007225BC" w:rsidRPr="00523BF9">
        <w:rPr>
          <w:rFonts w:ascii="黑体" w:eastAsia="黑体" w:hAnsi="黑体" w:hint="eastAsia"/>
          <w:color w:val="000000" w:themeColor="text1"/>
          <w:lang w:eastAsia="zh-CN"/>
        </w:rPr>
        <w:t xml:space="preserve">  </w:t>
      </w:r>
      <w:r w:rsidRPr="00523BF9">
        <w:rPr>
          <w:rFonts w:ascii="黑体" w:eastAsia="黑体" w:hAnsi="黑体" w:hint="eastAsia"/>
          <w:color w:val="000000" w:themeColor="text1"/>
        </w:rPr>
        <w:t>实地核查</w:t>
      </w:r>
    </w:p>
    <w:p w:rsidR="001B1D2A" w:rsidRPr="001B1D2A" w:rsidRDefault="001B1D2A" w:rsidP="00523BF9">
      <w:pPr>
        <w:pStyle w:val="a3"/>
        <w:jc w:val="center"/>
        <w:rPr>
          <w:rFonts w:ascii="仿宋_GB2312" w:eastAsia="仿宋_GB2312"/>
          <w:color w:val="000000" w:themeColor="text1"/>
          <w:lang w:eastAsia="zh-CN"/>
        </w:rPr>
      </w:pP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笫十四条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国务院教育督导委员会办公室根据资格审核结果、社会认可度调查结果和指标审核结果，以省为单位在当年申报县中抽取部分县进行实地核查。</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笫十五条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实地核查以《县域义务教育优质均衡发展督导评估办法》规定指标为内容，以材料审核后提供的”实地核查重点事项清单”为重点。</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笫十六条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以省为单位组织实地核查组，每个实地核查组设组长1名、副组长1-2名，实行组长负责制。每个实地核查组一般设资源配置、师资队伍、行政管理和教育质量4个小组。</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笫十七条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实地核查组按照规定要求，安排对申报县政府及有关部门推进义务教育优质均衡发展工作情况进行评估。一般应安排召开县级政府汇报会、查访政府有关部门、核查档案资料、召开座谈会、随机访谈等。</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笫十八条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实地核查组按照规定要求，安排对申报县有关义务教育学校、特殊教育学校进行抽样评估。抽取学校名单由国务院教育督导委员会办公室确定，实地核查组可根据实际情况补充抽样。</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实地核查组可视情况安排对部分幼儿园、高中进行延伸查访。</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到校评估时，实地核查组应开展教学活动观察、现场检查、随机访谈、核查档案资料等</w:t>
      </w:r>
      <w:r w:rsidR="001B1D2A" w:rsidRPr="001B1D2A">
        <w:rPr>
          <w:rFonts w:ascii="仿宋_GB2312" w:eastAsia="仿宋_GB2312" w:hint="eastAsia"/>
          <w:color w:val="000000" w:themeColor="text1"/>
          <w:lang w:eastAsia="zh-CN"/>
        </w:rPr>
        <w:t>。</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笫十九条</w:t>
      </w:r>
      <w:r w:rsidRPr="001B1D2A">
        <w:rPr>
          <w:rFonts w:ascii="仿宋_GB2312" w:eastAsia="仿宋_GB2312" w:hint="eastAsia"/>
          <w:color w:val="000000" w:themeColor="text1"/>
        </w:rPr>
        <w:tab/>
        <w:t>实地核查组应向申报县政府及所在市、省政府反馈评估意见，总结推进义务教育优质均衡发展工作的经验，重点指出存在问题，共同分析研判，指导改进工作。</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笫二十条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实地核查组形成单项指标评估结论意见，并对申报县”是否通过评估认定”形成综合评估结论意见，于督导评估后，向国务院教育督导委员会办公室提交书面报告。</w:t>
      </w:r>
    </w:p>
    <w:p w:rsidR="001B1D2A" w:rsidRPr="001B1D2A" w:rsidRDefault="001B1D2A" w:rsidP="00523BF9">
      <w:pPr>
        <w:pStyle w:val="a3"/>
        <w:ind w:firstLine="630"/>
        <w:jc w:val="both"/>
        <w:rPr>
          <w:rFonts w:ascii="仿宋_GB2312" w:eastAsia="仿宋_GB2312"/>
          <w:color w:val="000000" w:themeColor="text1"/>
          <w:lang w:eastAsia="zh-CN"/>
        </w:rPr>
      </w:pPr>
    </w:p>
    <w:p w:rsidR="00202D86" w:rsidRPr="00523BF9" w:rsidRDefault="0099165E" w:rsidP="00523BF9">
      <w:pPr>
        <w:pStyle w:val="a3"/>
        <w:jc w:val="center"/>
        <w:rPr>
          <w:rFonts w:ascii="黑体" w:eastAsia="黑体" w:hAnsi="黑体"/>
          <w:color w:val="000000" w:themeColor="text1"/>
          <w:lang w:eastAsia="zh-CN"/>
        </w:rPr>
      </w:pPr>
      <w:r w:rsidRPr="00523BF9">
        <w:rPr>
          <w:rFonts w:ascii="黑体" w:eastAsia="黑体" w:hAnsi="黑体" w:hint="eastAsia"/>
          <w:color w:val="000000" w:themeColor="text1"/>
        </w:rPr>
        <w:lastRenderedPageBreak/>
        <w:t>第六章</w:t>
      </w:r>
      <w:r w:rsidR="007225BC" w:rsidRPr="00523BF9">
        <w:rPr>
          <w:rFonts w:ascii="黑体" w:eastAsia="黑体" w:hAnsi="黑体" w:hint="eastAsia"/>
          <w:color w:val="000000" w:themeColor="text1"/>
          <w:lang w:eastAsia="zh-CN"/>
        </w:rPr>
        <w:t xml:space="preserve">  </w:t>
      </w:r>
      <w:r w:rsidRPr="00523BF9">
        <w:rPr>
          <w:rFonts w:ascii="黑体" w:eastAsia="黑体" w:hAnsi="黑体" w:hint="eastAsia"/>
          <w:color w:val="000000" w:themeColor="text1"/>
        </w:rPr>
        <w:t>结果认定</w:t>
      </w:r>
    </w:p>
    <w:p w:rsidR="001B1D2A" w:rsidRPr="001B1D2A" w:rsidRDefault="001B1D2A" w:rsidP="00523BF9">
      <w:pPr>
        <w:pStyle w:val="a3"/>
        <w:jc w:val="center"/>
        <w:rPr>
          <w:rFonts w:ascii="仿宋_GB2312" w:eastAsia="仿宋_GB2312"/>
          <w:color w:val="000000" w:themeColor="text1"/>
          <w:lang w:eastAsia="zh-CN"/>
        </w:rPr>
      </w:pP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笫二十一条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国务院教育督导委员会办公室根据各环节审核评估的结论意见，形成对申报县最终评估认定结论，拟定“义务教育优质均衡发展县”名单，并进行公示。公示无异议的，报国务院教育督导委员会最终认定。</w:t>
      </w: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笫二十二条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国务院教育督导委员会印发决定，公布“义务教育优质均衡发展县”名单，向有关省（自治区、直辖市）印发督导评估认定意见。</w:t>
      </w:r>
    </w:p>
    <w:p w:rsidR="001B1D2A" w:rsidRPr="001B1D2A" w:rsidRDefault="001B1D2A" w:rsidP="00523BF9">
      <w:pPr>
        <w:pStyle w:val="a3"/>
        <w:ind w:firstLine="630"/>
        <w:jc w:val="both"/>
        <w:rPr>
          <w:rFonts w:ascii="仿宋_GB2312" w:eastAsia="仿宋_GB2312"/>
          <w:color w:val="000000" w:themeColor="text1"/>
          <w:lang w:eastAsia="zh-CN"/>
        </w:rPr>
      </w:pPr>
    </w:p>
    <w:p w:rsidR="00202D86" w:rsidRPr="00523BF9" w:rsidRDefault="0099165E" w:rsidP="00523BF9">
      <w:pPr>
        <w:pStyle w:val="a3"/>
        <w:jc w:val="center"/>
        <w:rPr>
          <w:rFonts w:ascii="黑体" w:eastAsia="黑体" w:hAnsi="黑体"/>
          <w:color w:val="000000" w:themeColor="text1"/>
          <w:lang w:eastAsia="zh-CN"/>
        </w:rPr>
      </w:pPr>
      <w:r w:rsidRPr="00523BF9">
        <w:rPr>
          <w:rFonts w:ascii="黑体" w:eastAsia="黑体" w:hAnsi="黑体" w:hint="eastAsia"/>
          <w:color w:val="000000" w:themeColor="text1"/>
        </w:rPr>
        <w:t>第七章</w:t>
      </w:r>
      <w:r w:rsidR="007225BC" w:rsidRPr="00523BF9">
        <w:rPr>
          <w:rFonts w:ascii="黑体" w:eastAsia="黑体" w:hAnsi="黑体" w:hint="eastAsia"/>
          <w:color w:val="000000" w:themeColor="text1"/>
          <w:lang w:eastAsia="zh-CN"/>
        </w:rPr>
        <w:t xml:space="preserve">  </w:t>
      </w:r>
      <w:r w:rsidRPr="00523BF9">
        <w:rPr>
          <w:rFonts w:ascii="黑体" w:eastAsia="黑体" w:hAnsi="黑体" w:hint="eastAsia"/>
          <w:color w:val="000000" w:themeColor="text1"/>
        </w:rPr>
        <w:t>附</w:t>
      </w:r>
      <w:r w:rsidR="007225BC" w:rsidRPr="00523BF9">
        <w:rPr>
          <w:rFonts w:ascii="黑体" w:eastAsia="黑体" w:hAnsi="黑体" w:hint="eastAsia"/>
          <w:color w:val="000000" w:themeColor="text1"/>
          <w:lang w:eastAsia="zh-CN"/>
        </w:rPr>
        <w:t xml:space="preserve">  </w:t>
      </w:r>
      <w:r w:rsidRPr="00523BF9">
        <w:rPr>
          <w:rFonts w:ascii="黑体" w:eastAsia="黑体" w:hAnsi="黑体" w:hint="eastAsia"/>
          <w:color w:val="000000" w:themeColor="text1"/>
        </w:rPr>
        <w:t>则</w:t>
      </w:r>
    </w:p>
    <w:p w:rsidR="001B1D2A" w:rsidRPr="001B1D2A" w:rsidRDefault="001B1D2A" w:rsidP="00523BF9">
      <w:pPr>
        <w:pStyle w:val="a3"/>
        <w:jc w:val="center"/>
        <w:rPr>
          <w:rFonts w:ascii="仿宋_GB2312" w:eastAsia="仿宋_GB2312"/>
          <w:color w:val="000000" w:themeColor="text1"/>
          <w:lang w:eastAsia="zh-CN"/>
        </w:rPr>
      </w:pPr>
    </w:p>
    <w:p w:rsidR="00202D86" w:rsidRPr="001B1D2A" w:rsidRDefault="0099165E" w:rsidP="00523BF9">
      <w:pPr>
        <w:pStyle w:val="a3"/>
        <w:ind w:firstLine="630"/>
        <w:jc w:val="both"/>
        <w:rPr>
          <w:rFonts w:ascii="仿宋_GB2312" w:eastAsia="仿宋_GB2312"/>
          <w:color w:val="000000" w:themeColor="text1"/>
          <w:lang w:eastAsia="zh-CN"/>
        </w:rPr>
      </w:pPr>
      <w:r w:rsidRPr="001B1D2A">
        <w:rPr>
          <w:rFonts w:ascii="仿宋_GB2312" w:eastAsia="仿宋_GB2312" w:hint="eastAsia"/>
          <w:color w:val="000000" w:themeColor="text1"/>
        </w:rPr>
        <w:t>笫二十三条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本规程由国务院教育督导委员会办公室负责解释。</w:t>
      </w:r>
    </w:p>
    <w:p w:rsidR="005E634C" w:rsidRPr="001B1D2A" w:rsidRDefault="0099165E" w:rsidP="00523BF9">
      <w:pPr>
        <w:pStyle w:val="a3"/>
        <w:ind w:firstLine="630"/>
        <w:jc w:val="both"/>
        <w:rPr>
          <w:rFonts w:ascii="仿宋_GB2312" w:eastAsia="仿宋_GB2312"/>
          <w:color w:val="000000" w:themeColor="text1"/>
        </w:rPr>
      </w:pPr>
      <w:r w:rsidRPr="001B1D2A">
        <w:rPr>
          <w:rFonts w:ascii="仿宋_GB2312" w:eastAsia="仿宋_GB2312" w:hint="eastAsia"/>
          <w:color w:val="000000" w:themeColor="text1"/>
        </w:rPr>
        <w:t>笫二十四条</w:t>
      </w:r>
      <w:r w:rsidR="007225BC" w:rsidRPr="001B1D2A">
        <w:rPr>
          <w:rFonts w:ascii="仿宋_GB2312" w:eastAsia="仿宋_GB2312" w:hint="eastAsia"/>
          <w:color w:val="000000" w:themeColor="text1"/>
          <w:lang w:eastAsia="zh-CN"/>
        </w:rPr>
        <w:t xml:space="preserve">  </w:t>
      </w:r>
      <w:r w:rsidRPr="001B1D2A">
        <w:rPr>
          <w:rFonts w:ascii="仿宋_GB2312" w:eastAsia="仿宋_GB2312" w:hint="eastAsia"/>
          <w:color w:val="000000" w:themeColor="text1"/>
        </w:rPr>
        <w:t>本规程自发布之日起施行。</w:t>
      </w:r>
    </w:p>
    <w:sectPr w:rsidR="005E634C" w:rsidRPr="001B1D2A" w:rsidSect="00202D86">
      <w:pgSz w:w="11900" w:h="16840"/>
      <w:pgMar w:top="2098" w:right="1474" w:bottom="1928" w:left="158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9FD" w:rsidRDefault="003D49FD" w:rsidP="00160B3A">
      <w:r>
        <w:separator/>
      </w:r>
    </w:p>
  </w:endnote>
  <w:endnote w:type="continuationSeparator" w:id="0">
    <w:p w:rsidR="003D49FD" w:rsidRDefault="003D49FD" w:rsidP="00160B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81725"/>
      <w:docPartObj>
        <w:docPartGallery w:val="Page Numbers (Bottom of Page)"/>
        <w:docPartUnique/>
      </w:docPartObj>
    </w:sdtPr>
    <w:sdtEndPr>
      <w:rPr>
        <w:rFonts w:ascii="仿宋_GB2312" w:eastAsia="仿宋_GB2312" w:hint="eastAsia"/>
        <w:color w:val="000000" w:themeColor="text1"/>
        <w:sz w:val="24"/>
        <w:szCs w:val="24"/>
      </w:rPr>
    </w:sdtEndPr>
    <w:sdtContent>
      <w:p w:rsidR="00523BF9" w:rsidRPr="00523BF9" w:rsidRDefault="00523BF9">
        <w:pPr>
          <w:pStyle w:val="a6"/>
          <w:jc w:val="center"/>
          <w:rPr>
            <w:rFonts w:ascii="仿宋_GB2312" w:eastAsia="仿宋_GB2312" w:hint="eastAsia"/>
            <w:color w:val="000000" w:themeColor="text1"/>
            <w:sz w:val="24"/>
            <w:szCs w:val="24"/>
          </w:rPr>
        </w:pPr>
        <w:r w:rsidRPr="00523BF9">
          <w:rPr>
            <w:rFonts w:ascii="仿宋_GB2312" w:eastAsia="仿宋_GB2312" w:hint="eastAsia"/>
            <w:color w:val="000000" w:themeColor="text1"/>
            <w:sz w:val="24"/>
            <w:szCs w:val="24"/>
          </w:rPr>
          <w:fldChar w:fldCharType="begin"/>
        </w:r>
        <w:r w:rsidRPr="00523BF9">
          <w:rPr>
            <w:rFonts w:ascii="仿宋_GB2312" w:eastAsia="仿宋_GB2312" w:hint="eastAsia"/>
            <w:color w:val="000000" w:themeColor="text1"/>
            <w:sz w:val="24"/>
            <w:szCs w:val="24"/>
          </w:rPr>
          <w:instrText xml:space="preserve"> PAGE   \* MERGEFORMAT </w:instrText>
        </w:r>
        <w:r w:rsidRPr="00523BF9">
          <w:rPr>
            <w:rFonts w:ascii="仿宋_GB2312" w:eastAsia="仿宋_GB2312" w:hint="eastAsia"/>
            <w:color w:val="000000" w:themeColor="text1"/>
            <w:sz w:val="24"/>
            <w:szCs w:val="24"/>
          </w:rPr>
          <w:fldChar w:fldCharType="separate"/>
        </w:r>
        <w:r w:rsidRPr="00523BF9">
          <w:rPr>
            <w:rFonts w:ascii="仿宋_GB2312" w:eastAsia="仿宋_GB2312"/>
            <w:noProof/>
            <w:color w:val="000000" w:themeColor="text1"/>
            <w:sz w:val="24"/>
            <w:szCs w:val="24"/>
            <w:lang w:val="zh-CN"/>
          </w:rPr>
          <w:t>4</w:t>
        </w:r>
        <w:r w:rsidRPr="00523BF9">
          <w:rPr>
            <w:rFonts w:ascii="仿宋_GB2312" w:eastAsia="仿宋_GB2312" w:hint="eastAsia"/>
            <w:color w:val="000000" w:themeColor="text1"/>
            <w:sz w:val="24"/>
            <w:szCs w:val="24"/>
          </w:rPr>
          <w:fldChar w:fldCharType="end"/>
        </w:r>
      </w:p>
    </w:sdtContent>
  </w:sdt>
  <w:p w:rsidR="00523BF9" w:rsidRDefault="00523B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9FD" w:rsidRDefault="003D49FD" w:rsidP="00160B3A">
      <w:r>
        <w:separator/>
      </w:r>
    </w:p>
  </w:footnote>
  <w:footnote w:type="continuationSeparator" w:id="0">
    <w:p w:rsidR="003D49FD" w:rsidRDefault="003D49FD" w:rsidP="00160B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1266">
      <o:colormenu v:ext="edit" strokecolor="red"/>
    </o:shapedefaults>
  </w:hdrShapeDefaults>
  <w:footnotePr>
    <w:footnote w:id="-1"/>
    <w:footnote w:id="0"/>
  </w:footnotePr>
  <w:endnotePr>
    <w:endnote w:id="-1"/>
    <w:endnote w:id="0"/>
  </w:endnotePr>
  <w:compat>
    <w:ulTrailSpace/>
    <w:useFELayout/>
  </w:compat>
  <w:rsids>
    <w:rsidRoot w:val="005E634C"/>
    <w:rsid w:val="00160B3A"/>
    <w:rsid w:val="001B1D2A"/>
    <w:rsid w:val="00202D86"/>
    <w:rsid w:val="00216914"/>
    <w:rsid w:val="002D7720"/>
    <w:rsid w:val="003A314D"/>
    <w:rsid w:val="003D49FD"/>
    <w:rsid w:val="004D0439"/>
    <w:rsid w:val="00523BF9"/>
    <w:rsid w:val="005E634C"/>
    <w:rsid w:val="006D1E10"/>
    <w:rsid w:val="006D5911"/>
    <w:rsid w:val="007225BC"/>
    <w:rsid w:val="00926C15"/>
    <w:rsid w:val="0099165E"/>
    <w:rsid w:val="00AB67D3"/>
    <w:rsid w:val="00AD1A47"/>
    <w:rsid w:val="00C44B6B"/>
    <w:rsid w:val="00CD69E1"/>
    <w:rsid w:val="00D878B3"/>
    <w:rsid w:val="00EC240E"/>
    <w:rsid w:val="00EF5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634C"/>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E634C"/>
    <w:tblPr>
      <w:tblInd w:w="0" w:type="dxa"/>
      <w:tblCellMar>
        <w:top w:w="0" w:type="dxa"/>
        <w:left w:w="0" w:type="dxa"/>
        <w:bottom w:w="0" w:type="dxa"/>
        <w:right w:w="0" w:type="dxa"/>
      </w:tblCellMar>
    </w:tblPr>
  </w:style>
  <w:style w:type="paragraph" w:styleId="a3">
    <w:name w:val="Body Text"/>
    <w:basedOn w:val="a"/>
    <w:uiPriority w:val="1"/>
    <w:qFormat/>
    <w:rsid w:val="005E634C"/>
    <w:rPr>
      <w:sz w:val="32"/>
      <w:szCs w:val="32"/>
    </w:rPr>
  </w:style>
  <w:style w:type="paragraph" w:customStyle="1" w:styleId="Heading1">
    <w:name w:val="Heading 1"/>
    <w:basedOn w:val="a"/>
    <w:uiPriority w:val="1"/>
    <w:qFormat/>
    <w:rsid w:val="005E634C"/>
    <w:pPr>
      <w:ind w:left="893"/>
      <w:outlineLvl w:val="1"/>
    </w:pPr>
    <w:rPr>
      <w:sz w:val="35"/>
      <w:szCs w:val="35"/>
    </w:rPr>
  </w:style>
  <w:style w:type="paragraph" w:styleId="a4">
    <w:name w:val="List Paragraph"/>
    <w:basedOn w:val="a"/>
    <w:uiPriority w:val="1"/>
    <w:qFormat/>
    <w:rsid w:val="005E634C"/>
  </w:style>
  <w:style w:type="paragraph" w:customStyle="1" w:styleId="TableParagraph">
    <w:name w:val="Table Paragraph"/>
    <w:basedOn w:val="a"/>
    <w:uiPriority w:val="1"/>
    <w:qFormat/>
    <w:rsid w:val="005E634C"/>
  </w:style>
  <w:style w:type="paragraph" w:styleId="a5">
    <w:name w:val="header"/>
    <w:basedOn w:val="a"/>
    <w:link w:val="Char"/>
    <w:uiPriority w:val="99"/>
    <w:semiHidden/>
    <w:unhideWhenUsed/>
    <w:rsid w:val="00160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60B3A"/>
    <w:rPr>
      <w:rFonts w:ascii="宋体" w:eastAsia="宋体" w:hAnsi="宋体" w:cs="宋体"/>
      <w:sz w:val="18"/>
      <w:szCs w:val="18"/>
    </w:rPr>
  </w:style>
  <w:style w:type="paragraph" w:styleId="a6">
    <w:name w:val="footer"/>
    <w:basedOn w:val="a"/>
    <w:link w:val="Char0"/>
    <w:uiPriority w:val="99"/>
    <w:unhideWhenUsed/>
    <w:rsid w:val="00160B3A"/>
    <w:pPr>
      <w:tabs>
        <w:tab w:val="center" w:pos="4153"/>
        <w:tab w:val="right" w:pos="8306"/>
      </w:tabs>
      <w:snapToGrid w:val="0"/>
    </w:pPr>
    <w:rPr>
      <w:sz w:val="18"/>
      <w:szCs w:val="18"/>
    </w:rPr>
  </w:style>
  <w:style w:type="character" w:customStyle="1" w:styleId="Char0">
    <w:name w:val="页脚 Char"/>
    <w:basedOn w:val="a0"/>
    <w:link w:val="a6"/>
    <w:uiPriority w:val="99"/>
    <w:rsid w:val="00160B3A"/>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2019-12-17T06:12:00Z</dcterms:created>
  <dcterms:modified xsi:type="dcterms:W3CDTF">2020-02-20T07:13:00Z</dcterms:modified>
</cp:coreProperties>
</file>