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华文中宋" w:hAnsi="华文中宋" w:eastAsia="华文中宋" w:cs="华文中宋"/>
          <w:color w:val="FF0000"/>
          <w:w w:val="40"/>
          <w:sz w:val="32"/>
          <w:szCs w:val="32"/>
          <w:lang w:val="en-US"/>
        </w:rPr>
      </w:pPr>
      <w:r>
        <w:rPr>
          <w:rFonts w:hint="eastAsia" w:ascii="黑体" w:hAnsi="黑体" w:eastAsia="黑体" w:cs="黑体"/>
          <w:kern w:val="2"/>
          <w:sz w:val="32"/>
          <w:szCs w:val="32"/>
          <w:lang w:val="en-US" w:eastAsia="zh-CN" w:bidi="ar"/>
        </w:rPr>
        <w:t>SZDR-2022-0020001</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FF0000"/>
          <w:w w:val="40"/>
          <w:sz w:val="140"/>
          <w:szCs w:val="24"/>
          <w:lang w:val="en-US"/>
        </w:rPr>
      </w:pPr>
      <w:r>
        <w:rPr>
          <w:rFonts w:hint="eastAsia" w:ascii="华文中宋" w:hAnsi="华文中宋" w:eastAsia="华文中宋" w:cs="华文中宋"/>
          <w:color w:val="FF0000"/>
          <w:w w:val="40"/>
          <w:kern w:val="2"/>
          <w:sz w:val="140"/>
          <w:szCs w:val="24"/>
          <w:lang w:val="en-US" w:eastAsia="zh-CN" w:bidi="ar"/>
        </w:rPr>
        <w:t>济南市市中区人民政府办公室文件</w:t>
      </w: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bCs/>
          <w:color w:val="00000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市中</w:t>
      </w:r>
      <w:r>
        <w:rPr>
          <w:rFonts w:hint="eastAsia" w:ascii="仿宋_GB2312" w:hAnsi="宋体" w:eastAsia="仿宋_GB2312" w:cs="仿宋_GB2312"/>
          <w:bCs/>
          <w:color w:val="000000"/>
          <w:kern w:val="2"/>
          <w:sz w:val="32"/>
          <w:szCs w:val="32"/>
          <w:lang w:val="en-US" w:eastAsia="zh-CN" w:bidi="ar"/>
        </w:rPr>
        <w:t>政</w:t>
      </w:r>
      <w:r>
        <w:rPr>
          <w:rFonts w:hint="eastAsia" w:ascii="仿宋_GB2312" w:hAnsi="仿宋_GB2312" w:eastAsia="仿宋_GB2312" w:cs="仿宋_GB2312"/>
          <w:bCs/>
          <w:color w:val="000000"/>
          <w:kern w:val="2"/>
          <w:sz w:val="32"/>
          <w:szCs w:val="32"/>
          <w:lang w:val="en-US" w:eastAsia="zh-CN" w:bidi="ar"/>
        </w:rPr>
        <w:t>办发</w:t>
      </w:r>
      <w:r>
        <w:rPr>
          <w:rFonts w:hint="eastAsia" w:ascii="仿宋_GB2312" w:hAnsi="仿宋_GB2312" w:eastAsia="仿宋_GB2312" w:cs="仿宋_GB2312"/>
          <w:kern w:val="2"/>
          <w:sz w:val="32"/>
          <w:szCs w:val="32"/>
          <w:lang w:val="en-US" w:eastAsia="zh-CN" w:bidi="ar"/>
        </w:rPr>
        <w:t>〔2022〕2</w:t>
      </w:r>
      <w:r>
        <w:rPr>
          <w:rFonts w:hint="eastAsia" w:ascii="仿宋_GB2312" w:hAnsi="仿宋_GB2312" w:eastAsia="仿宋_GB2312" w:cs="仿宋_GB2312"/>
          <w:bCs/>
          <w:color w:val="000000"/>
          <w:kern w:val="2"/>
          <w:sz w:val="32"/>
          <w:szCs w:val="32"/>
          <w:lang w:val="en-US" w:eastAsia="zh-CN" w:bidi="ar"/>
        </w:rPr>
        <w:t>号</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sz w:val="32"/>
          <w:szCs w:val="3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0720" cy="0"/>
                <wp:effectExtent l="0" t="0" r="0" b="0"/>
                <wp:wrapNone/>
                <wp:docPr id="4" name="直线 2"/>
                <wp:cNvGraphicFramePr/>
                <a:graphic xmlns:a="http://schemas.openxmlformats.org/drawingml/2006/main">
                  <a:graphicData uri="http://schemas.microsoft.com/office/word/2010/wordprocessingShape">
                    <wps:wsp>
                      <wps:cNvSpPr/>
                      <wps:spPr>
                        <a:xfrm>
                          <a:off x="0" y="0"/>
                          <a:ext cx="576072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53.6pt;z-index:251659264;mso-width-relative:page;mso-height-relative:page;" stroked="t" coordsize="21600,21600" o:gfxdata="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w1UANIAAAAC&#10;AQAADwAAAAAAAAABACAAAAAiAAAAZHJzL2Rvd25yZXYueG1sUEsBAhQAFAAAAAgAh07iQNCMR6Tp&#10;AQAA3AMAAA4AAAAAAAAAAQAgAAAAIQEAAGRycy9lMm9Eb2MueG1sUEsFBgAAAAAGAAYAWQEAAHwF&#10;AAAAAA==&#10;">
                <v:path arrowok="t"/>
                <v:fill focussize="0,0"/>
                <v:stroke weight="1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济南市市中区人民政府办公室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关于印发</w:t>
      </w:r>
      <w:r>
        <w:rPr>
          <w:rFonts w:hint="eastAsia" w:ascii="方正小标宋简体" w:hAnsi="宋体" w:eastAsia="方正小标宋简体"/>
          <w:bCs/>
          <w:color w:val="000000" w:themeColor="text1"/>
          <w:sz w:val="44"/>
          <w:szCs w:val="44"/>
          <w:lang w:val="en-US" w:eastAsia="zh-CN"/>
          <w14:textFill>
            <w14:solidFill>
              <w14:schemeClr w14:val="tx1"/>
            </w14:solidFill>
          </w14:textFill>
        </w:rPr>
        <w:t>济南市</w:t>
      </w:r>
      <w:r>
        <w:rPr>
          <w:rFonts w:hint="eastAsia" w:ascii="方正小标宋简体" w:hAnsi="宋体" w:eastAsia="方正小标宋简体"/>
          <w:bCs/>
          <w:color w:val="000000" w:themeColor="text1"/>
          <w:sz w:val="44"/>
          <w:szCs w:val="44"/>
          <w14:textFill>
            <w14:solidFill>
              <w14:schemeClr w14:val="tx1"/>
            </w14:solidFill>
          </w14:textFill>
        </w:rPr>
        <w:t>市中区农业水价综合改革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实施方案的通知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华文仿宋" w:hAnsi="华文仿宋" w:eastAsia="华文仿宋"/>
          <w:b/>
          <w:bCs/>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各</w:t>
      </w:r>
      <w:r>
        <w:rPr>
          <w:rFonts w:hint="eastAsia" w:ascii="仿宋_GB2312" w:hAnsi="华文仿宋" w:eastAsia="仿宋_GB2312"/>
          <w:color w:val="000000" w:themeColor="text1"/>
          <w:sz w:val="32"/>
          <w:szCs w:val="32"/>
          <w14:textFill>
            <w14:solidFill>
              <w14:schemeClr w14:val="tx1"/>
            </w14:solidFill>
          </w14:textFill>
        </w:rPr>
        <w:t>街道办事处，区政府</w:t>
      </w:r>
      <w:r>
        <w:rPr>
          <w:rFonts w:hint="eastAsia" w:ascii="仿宋_GB2312" w:hAnsi="华文仿宋" w:eastAsia="仿宋_GB2312"/>
          <w:color w:val="000000" w:themeColor="text1"/>
          <w:sz w:val="32"/>
          <w:szCs w:val="32"/>
          <w:lang w:val="en-US" w:eastAsia="zh-CN"/>
          <w14:textFill>
            <w14:solidFill>
              <w14:schemeClr w14:val="tx1"/>
            </w14:solidFill>
          </w14:textFill>
        </w:rPr>
        <w:t>各</w:t>
      </w:r>
      <w:r>
        <w:rPr>
          <w:rFonts w:hint="eastAsia" w:ascii="仿宋_GB2312" w:hAnsi="华文仿宋" w:eastAsia="仿宋_GB2312"/>
          <w:color w:val="000000" w:themeColor="text1"/>
          <w:sz w:val="32"/>
          <w:szCs w:val="32"/>
          <w14:textFill>
            <w14:solidFill>
              <w14:schemeClr w14:val="tx1"/>
            </w14:solidFill>
          </w14:textFill>
        </w:rPr>
        <w:t>部门: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济南市</w:t>
      </w:r>
      <w:r>
        <w:rPr>
          <w:rFonts w:hint="eastAsia" w:ascii="仿宋_GB2312" w:hAnsi="华文仿宋" w:eastAsia="仿宋_GB2312"/>
          <w:color w:val="000000" w:themeColor="text1"/>
          <w:sz w:val="32"/>
          <w:szCs w:val="32"/>
          <w14:textFill>
            <w14:solidFill>
              <w14:schemeClr w14:val="tx1"/>
            </w14:solidFill>
          </w14:textFill>
        </w:rPr>
        <w:t>市中区农业水价综合改革实施方案》已经区政府同意，现印发给你们，请认真组织实施。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华文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华文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 xml:space="preserve">   济南市市中区人民政府办公室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 xml:space="preserve">                    </w:t>
      </w:r>
      <w:r>
        <w:rPr>
          <w:rFonts w:hint="eastAsia" w:ascii="仿宋_GB2312" w:hAnsi="华文仿宋" w:eastAsia="仿宋_GB2312"/>
          <w:color w:val="000000" w:themeColor="text1"/>
          <w:sz w:val="32"/>
          <w:szCs w:val="32"/>
          <w:lang w:val="en-US" w:eastAsia="zh-CN"/>
          <w14:textFill>
            <w14:solidFill>
              <w14:schemeClr w14:val="tx1"/>
            </w14:solidFill>
          </w14:textFill>
        </w:rPr>
        <w:t xml:space="preserve"> </w:t>
      </w:r>
      <w:r>
        <w:rPr>
          <w:rFonts w:hint="eastAsia" w:ascii="仿宋_GB2312" w:hAnsi="华文仿宋" w:eastAsia="仿宋_GB2312"/>
          <w:color w:val="000000" w:themeColor="text1"/>
          <w:sz w:val="32"/>
          <w:szCs w:val="32"/>
          <w14:textFill>
            <w14:solidFill>
              <w14:schemeClr w14:val="tx1"/>
            </w14:solidFill>
          </w14:textFill>
        </w:rPr>
        <w:t>2022年</w:t>
      </w:r>
      <w:r>
        <w:rPr>
          <w:rFonts w:hint="eastAsia" w:ascii="仿宋_GB2312" w:hAnsi="华文仿宋" w:eastAsia="仿宋_GB2312"/>
          <w:color w:val="000000" w:themeColor="text1"/>
          <w:sz w:val="32"/>
          <w:szCs w:val="32"/>
          <w:lang w:val="en-US" w:eastAsia="zh-CN"/>
          <w14:textFill>
            <w14:solidFill>
              <w14:schemeClr w14:val="tx1"/>
            </w14:solidFill>
          </w14:textFill>
        </w:rPr>
        <w:t>11</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30</w:t>
      </w:r>
      <w:r>
        <w:rPr>
          <w:rFonts w:hint="eastAsia" w:ascii="仿宋_GB2312" w:hAnsi="华文仿宋" w:eastAsia="仿宋_GB2312"/>
          <w:color w:val="000000" w:themeColor="text1"/>
          <w:sz w:val="32"/>
          <w:szCs w:val="32"/>
          <w14:textFill>
            <w14:solidFill>
              <w14:schemeClr w14:val="tx1"/>
            </w14:solidFill>
          </w14:textFill>
        </w:rPr>
        <w:t>日</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文星仿宋" w:eastAsia="黑体" w:cs="黑体"/>
          <w:sz w:val="32"/>
          <w:szCs w:val="32"/>
          <w:lang w:val="en-US"/>
        </w:rPr>
      </w:pPr>
      <w:r>
        <w:rPr>
          <w:rFonts w:hint="eastAsia" w:ascii="仿宋_GB2312" w:hAnsi="仿宋_GB2312" w:eastAsia="仿宋_GB2312" w:cs="仿宋_GB2312"/>
          <w:kern w:val="2"/>
          <w:sz w:val="32"/>
          <w:szCs w:val="32"/>
          <w:lang w:val="en-US" w:eastAsia="zh-CN" w:bidi="ar"/>
        </w:rPr>
        <w:t>（此件公开发布）</w:t>
      </w:r>
    </w:p>
    <w:p>
      <w:pPr>
        <w:keepNext w:val="0"/>
        <w:keepLines w:val="0"/>
        <w:pageBreakBefore w:val="0"/>
        <w:kinsoku/>
        <w:wordWrap/>
        <w:overflowPunct/>
        <w:topLinePunct w:val="0"/>
        <w:autoSpaceDE/>
        <w:autoSpaceDN/>
        <w:bidi w:val="0"/>
        <w:adjustRightInd/>
        <w:spacing w:line="580" w:lineRule="exact"/>
        <w:textAlignment w:val="auto"/>
        <w:rPr>
          <w:rFonts w:ascii="仿宋_GB2312" w:hAnsi="华文仿宋" w:eastAsia="仿宋_GB2312"/>
          <w:color w:val="000000" w:themeColor="text1"/>
          <w:sz w:val="32"/>
          <w:szCs w:val="32"/>
          <w14:textFill>
            <w14:solidFill>
              <w14:schemeClr w14:val="tx1"/>
            </w14:solidFill>
          </w14:textFill>
        </w:rPr>
      </w:pPr>
    </w:p>
    <w:p>
      <w:pP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济南市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市中区农业水价综合改革实施方案</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auto"/>
          <w:spacing w:val="6"/>
          <w:sz w:val="32"/>
          <w:szCs w:val="32"/>
          <w:lang w:eastAsia="zh-CN"/>
        </w:rPr>
      </w:pPr>
      <w:r>
        <w:rPr>
          <w:rFonts w:hint="eastAsia" w:ascii="仿宋_GB2312" w:hAnsi="黑体" w:eastAsia="仿宋_GB2312"/>
          <w:color w:val="000000" w:themeColor="text1"/>
          <w:sz w:val="32"/>
          <w:szCs w:val="32"/>
          <w:lang w:val="en-US" w:eastAsia="zh-CN"/>
          <w14:textFill>
            <w14:solidFill>
              <w14:schemeClr w14:val="tx1"/>
            </w14:solidFill>
          </w14:textFill>
        </w:rPr>
        <w:t>为</w:t>
      </w:r>
      <w:r>
        <w:rPr>
          <w:rFonts w:hint="eastAsia" w:ascii="仿宋_GB2312" w:hAnsi="黑体" w:eastAsia="仿宋_GB2312"/>
          <w:color w:val="000000" w:themeColor="text1"/>
          <w:sz w:val="32"/>
          <w:szCs w:val="32"/>
          <w14:textFill>
            <w14:solidFill>
              <w14:schemeClr w14:val="tx1"/>
            </w14:solidFill>
          </w14:textFill>
        </w:rPr>
        <w:t>有序推进</w:t>
      </w:r>
      <w:r>
        <w:rPr>
          <w:rFonts w:hint="eastAsia" w:ascii="仿宋_GB2312" w:hAnsi="黑体" w:eastAsia="仿宋_GB2312"/>
          <w:color w:val="000000" w:themeColor="text1"/>
          <w:sz w:val="32"/>
          <w:szCs w:val="32"/>
          <w:lang w:val="en-US" w:eastAsia="zh-CN"/>
          <w14:textFill>
            <w14:solidFill>
              <w14:schemeClr w14:val="tx1"/>
            </w14:solidFill>
          </w14:textFill>
        </w:rPr>
        <w:t>全区</w:t>
      </w:r>
      <w:r>
        <w:rPr>
          <w:rFonts w:hint="eastAsia" w:ascii="仿宋_GB2312" w:hAnsi="黑体" w:eastAsia="仿宋_GB2312"/>
          <w:color w:val="000000" w:themeColor="text1"/>
          <w:sz w:val="32"/>
          <w:szCs w:val="32"/>
          <w14:textFill>
            <w14:solidFill>
              <w14:schemeClr w14:val="tx1"/>
            </w14:solidFill>
          </w14:textFill>
        </w:rPr>
        <w:t>农业水价综合改革，</w:t>
      </w:r>
      <w:r>
        <w:rPr>
          <w:rFonts w:hint="eastAsia" w:ascii="仿宋_GB2312" w:hAnsi="黑体" w:eastAsia="仿宋_GB2312"/>
          <w:color w:val="000000" w:themeColor="text1"/>
          <w:sz w:val="32"/>
          <w:szCs w:val="32"/>
          <w:lang w:val="en-US" w:eastAsia="zh-CN"/>
          <w14:textFill>
            <w14:solidFill>
              <w14:schemeClr w14:val="tx1"/>
            </w14:solidFill>
          </w14:textFill>
        </w:rPr>
        <w:t>根据《国务院办公厅关于推进农业水价综合改革的意见》（国办发〔2016〕2号）、</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《山东省人民政府办公厅关于印发山东省农业水价综合改革实施方案的通知》（鲁政办发〔2016〕44号）、《济南市人民政府办公厅关于印发济南市农业水价综合改革实施方案的通知》</w:t>
      </w:r>
      <w:r>
        <w:rPr>
          <w:rFonts w:hint="eastAsia" w:ascii="仿宋_GB2312" w:hAnsi="黑体" w:eastAsia="仿宋_GB2312"/>
          <w:color w:val="000000" w:themeColor="text1"/>
          <w:sz w:val="32"/>
          <w:szCs w:val="32"/>
          <w:lang w:val="en-US" w:eastAsia="zh-CN"/>
          <w14:textFill>
            <w14:solidFill>
              <w14:schemeClr w14:val="tx1"/>
            </w14:solidFill>
          </w14:textFill>
        </w:rPr>
        <w:t>（济</w:t>
      </w:r>
      <w:r>
        <w:rPr>
          <w:rFonts w:hint="eastAsia" w:ascii="仿宋_GB2312" w:hAnsi="黑体" w:eastAsia="仿宋_GB2312"/>
          <w:color w:val="auto"/>
          <w:spacing w:val="6"/>
          <w:sz w:val="32"/>
          <w:szCs w:val="32"/>
          <w:lang w:val="en-US" w:eastAsia="zh-CN"/>
        </w:rPr>
        <w:t>政办发〔2017〕2号）等文件精神</w:t>
      </w:r>
      <w:r>
        <w:rPr>
          <w:rFonts w:hint="eastAsia" w:ascii="仿宋_GB2312" w:hAnsi="黑体" w:eastAsia="仿宋_GB2312"/>
          <w:color w:val="auto"/>
          <w:spacing w:val="6"/>
          <w:sz w:val="32"/>
          <w:szCs w:val="32"/>
          <w:lang w:eastAsia="zh-CN"/>
        </w:rPr>
        <w:t>，结合我区实际，制定本方案。</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指导思想</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auto"/>
          <w:sz w:val="32"/>
          <w:szCs w:val="32"/>
          <w:lang w:eastAsia="zh-CN"/>
        </w:rPr>
      </w:pPr>
      <w:r>
        <w:rPr>
          <w:rFonts w:hint="eastAsia" w:ascii="仿宋_GB2312" w:hAnsi="黑体" w:eastAsia="仿宋_GB2312"/>
          <w:color w:val="000000" w:themeColor="text1"/>
          <w:sz w:val="32"/>
          <w:szCs w:val="32"/>
          <w14:textFill>
            <w14:solidFill>
              <w14:schemeClr w14:val="tx1"/>
            </w14:solidFill>
          </w14:textFill>
        </w:rPr>
        <w:t>全面贯彻党的</w:t>
      </w:r>
      <w:r>
        <w:rPr>
          <w:rFonts w:hint="eastAsia" w:ascii="仿宋_GB2312" w:hAnsi="黑体" w:eastAsia="仿宋_GB2312"/>
          <w:color w:val="000000" w:themeColor="text1"/>
          <w:sz w:val="32"/>
          <w:szCs w:val="32"/>
          <w:lang w:val="en-US" w:eastAsia="zh-CN"/>
          <w14:textFill>
            <w14:solidFill>
              <w14:schemeClr w14:val="tx1"/>
            </w14:solidFill>
          </w14:textFill>
        </w:rPr>
        <w:t>二十</w:t>
      </w:r>
      <w:r>
        <w:rPr>
          <w:rFonts w:hint="eastAsia" w:ascii="仿宋_GB2312" w:hAnsi="黑体" w:eastAsia="仿宋_GB2312"/>
          <w:color w:val="000000" w:themeColor="text1"/>
          <w:sz w:val="32"/>
          <w:szCs w:val="32"/>
          <w14:textFill>
            <w14:solidFill>
              <w14:schemeClr w14:val="tx1"/>
            </w14:solidFill>
          </w14:textFill>
        </w:rPr>
        <w:t>大精神</w:t>
      </w:r>
      <w:r>
        <w:rPr>
          <w:rFonts w:hint="eastAsia" w:ascii="仿宋_GB2312" w:hAnsi="黑体" w:eastAsia="仿宋_GB2312"/>
          <w:color w:val="000000" w:themeColor="text1"/>
          <w:sz w:val="32"/>
          <w:szCs w:val="32"/>
          <w:lang w:eastAsia="zh-CN"/>
          <w14:textFill>
            <w14:solidFill>
              <w14:schemeClr w14:val="tx1"/>
            </w14:solidFill>
          </w14:textFill>
        </w:rPr>
        <w:t>，深入贯彻落实</w:t>
      </w:r>
      <w:r>
        <w:rPr>
          <w:rFonts w:hint="eastAsia" w:ascii="仿宋_GB2312" w:hAnsi="黑体" w:eastAsia="仿宋_GB2312"/>
          <w:color w:val="auto"/>
          <w:sz w:val="32"/>
          <w:szCs w:val="32"/>
          <w:lang w:eastAsia="zh-CN"/>
        </w:rPr>
        <w:t>习近平总书记在黄河流域生态保护和高质量发展座谈会上的重要讲话精神，以</w:t>
      </w:r>
      <w:r>
        <w:rPr>
          <w:rFonts w:hint="eastAsia" w:ascii="仿宋_GB2312" w:hAnsi="黑体" w:eastAsia="仿宋_GB2312"/>
          <w:color w:val="auto"/>
          <w:sz w:val="32"/>
          <w:szCs w:val="32"/>
        </w:rPr>
        <w:t>习近平总书记“节水优先、空间均衡、系统治理、两手发力”的新时期治水方针</w:t>
      </w:r>
      <w:r>
        <w:rPr>
          <w:rFonts w:hint="eastAsia" w:ascii="仿宋_GB2312" w:hAnsi="黑体" w:eastAsia="仿宋_GB2312"/>
          <w:color w:val="auto"/>
          <w:sz w:val="32"/>
          <w:szCs w:val="32"/>
          <w:lang w:eastAsia="zh-CN"/>
        </w:rPr>
        <w:t>为指导</w:t>
      </w:r>
      <w:r>
        <w:rPr>
          <w:rFonts w:hint="eastAsia" w:ascii="仿宋_GB2312" w:hAnsi="黑体" w:eastAsia="仿宋_GB2312"/>
          <w:color w:val="auto"/>
          <w:sz w:val="32"/>
          <w:szCs w:val="32"/>
        </w:rPr>
        <w:t>，牢固树立创新、协调、绿色、开放、共享的发展理念</w:t>
      </w:r>
      <w:r>
        <w:rPr>
          <w:rFonts w:hint="eastAsia" w:ascii="仿宋_GB2312" w:hAnsi="黑体" w:eastAsia="仿宋_GB2312"/>
          <w:color w:val="auto"/>
          <w:sz w:val="32"/>
          <w:szCs w:val="32"/>
          <w:lang w:eastAsia="zh-CN"/>
        </w:rPr>
        <w:t>，坚持“以水定地、量水而行”，</w:t>
      </w:r>
      <w:r>
        <w:rPr>
          <w:rFonts w:hint="eastAsia" w:ascii="仿宋_GB2312" w:hAnsi="黑体" w:eastAsia="仿宋_GB2312"/>
          <w:color w:val="auto"/>
          <w:sz w:val="32"/>
          <w:szCs w:val="32"/>
        </w:rPr>
        <w:t>紧紧围绕保障粮食安全和水安全、促进农业节水和农田水利工程良性运行，突出问题导向，加强供给侧结构性改革和农业用水需求管理，</w:t>
      </w:r>
      <w:r>
        <w:rPr>
          <w:rFonts w:hint="eastAsia" w:ascii="仿宋_GB2312" w:hAnsi="黑体" w:eastAsia="仿宋_GB2312"/>
          <w:color w:val="auto"/>
          <w:sz w:val="32"/>
          <w:szCs w:val="32"/>
          <w:lang w:eastAsia="zh-CN"/>
        </w:rPr>
        <w:t>夯实农田灌溉工程体系和计量设施短板，建立农业初始水权制度，健全农业水价形成机制，创新农业用水管理方式，完善农业节水激励机制，提高水资源节约集约利用水平，实现</w:t>
      </w:r>
      <w:r>
        <w:rPr>
          <w:rFonts w:hint="eastAsia" w:ascii="仿宋_GB2312" w:hAnsi="黑体" w:eastAsia="仿宋_GB2312"/>
          <w:color w:val="auto"/>
          <w:sz w:val="32"/>
          <w:szCs w:val="32"/>
          <w:lang w:val="en-US" w:eastAsia="zh-CN"/>
        </w:rPr>
        <w:t>农业</w:t>
      </w:r>
      <w:r>
        <w:rPr>
          <w:rFonts w:hint="eastAsia" w:ascii="仿宋_GB2312" w:hAnsi="黑体" w:eastAsia="仿宋_GB2312"/>
          <w:color w:val="auto"/>
          <w:sz w:val="32"/>
          <w:szCs w:val="32"/>
          <w:lang w:eastAsia="zh-CN"/>
        </w:rPr>
        <w:t>高质量发展。</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二、基本</w:t>
      </w:r>
      <w:r>
        <w:rPr>
          <w:rFonts w:hint="eastAsia" w:ascii="黑体" w:hAnsi="黑体" w:eastAsia="黑体" w:cs="黑体"/>
          <w:color w:val="000000" w:themeColor="text1"/>
          <w:sz w:val="32"/>
          <w:szCs w:val="32"/>
          <w14:textFill>
            <w14:solidFill>
              <w14:schemeClr w14:val="tx1"/>
            </w14:solidFill>
          </w14:textFill>
        </w:rPr>
        <w:t>原则</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（一）坚持以人为本。</w:t>
      </w: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实施农业水价综合改革，必须尊重农民意愿，维护农民权益，促进农民增收，总体上不增加农民负担。水价制定要充分考虑农民承受能力，制度安排要最大程度惠及广大农户，让农民在用得起水的前提下注重高效用水，在积极参与改革中共享改革成果。</w:t>
      </w:r>
    </w:p>
    <w:p>
      <w:pPr>
        <w:pStyle w:val="12"/>
        <w:keepNext w:val="0"/>
        <w:keepLines w:val="0"/>
        <w:pageBreakBefore w:val="0"/>
        <w:widowControl w:val="0"/>
        <w:kinsoku/>
        <w:wordWrap/>
        <w:overflowPunct/>
        <w:topLinePunct w:val="0"/>
        <w:autoSpaceDE/>
        <w:autoSpaceDN/>
        <w:bidi w:val="0"/>
        <w:adjustRightInd/>
        <w:snapToGrid w:val="0"/>
        <w:spacing w:line="580" w:lineRule="exact"/>
        <w:ind w:leftChars="0" w:firstLine="640"/>
        <w:textAlignment w:val="auto"/>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（二）坚持共同发力。</w:t>
      </w: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加强农业水价综合改革与其他相关政策的衔接，综合运用价格调整、工程配套、技术推广、结构优化、财政奖补、管理创新等举措推进改革。既要发挥政府作用，保障粮食等重要农作物合理用水需求，又要发挥好市场在资源配置中的决定性作用，促进农业节水。</w:t>
      </w:r>
    </w:p>
    <w:p>
      <w:pPr>
        <w:pStyle w:val="12"/>
        <w:keepNext w:val="0"/>
        <w:keepLines w:val="0"/>
        <w:pageBreakBefore w:val="0"/>
        <w:kinsoku/>
        <w:wordWrap/>
        <w:overflowPunct/>
        <w:topLinePunct w:val="0"/>
        <w:autoSpaceDE/>
        <w:autoSpaceDN/>
        <w:bidi w:val="0"/>
        <w:adjustRightInd/>
        <w:snapToGrid w:val="0"/>
        <w:spacing w:line="580" w:lineRule="exact"/>
        <w:ind w:leftChars="0" w:firstLine="640"/>
        <w:textAlignment w:val="auto"/>
        <w:rPr>
          <w:rFonts w:hint="eastAsia"/>
          <w:lang w:eastAsia="zh-CN"/>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（三）坚持创新发展。</w:t>
      </w: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既要强化供水管理，健全运行机制，提高供水服务效率，又要把需求管理摆在更加突出的位置，全面提高农业用水精细化管理水平，推动农业用水方式转变。促进以科技、信息、组织管理创新为核心的全面创新，大力发展农业用水、节水、管水的新技术、新模式、新业态。</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三、改革目标</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通过推进农业水价综合改革，</w:t>
      </w:r>
      <w:r>
        <w:rPr>
          <w:rFonts w:hint="eastAsia" w:ascii="仿宋_GB2312" w:hAnsi="黑体" w:eastAsia="仿宋_GB2312"/>
          <w:color w:val="auto"/>
          <w:sz w:val="32"/>
          <w:szCs w:val="32"/>
          <w:highlight w:val="none"/>
        </w:rPr>
        <w:t>建</w:t>
      </w:r>
      <w:r>
        <w:rPr>
          <w:rFonts w:hint="eastAsia" w:ascii="仿宋_GB2312" w:hAnsi="黑体" w:eastAsia="仿宋_GB2312"/>
          <w:color w:val="000000" w:themeColor="text1"/>
          <w:sz w:val="32"/>
          <w:szCs w:val="32"/>
          <w:highlight w:val="none"/>
          <w14:textFill>
            <w14:solidFill>
              <w14:schemeClr w14:val="tx1"/>
            </w14:solidFill>
          </w14:textFill>
        </w:rPr>
        <w:t>立起合理反映农业供水成本、有利于节水和农田水利工程良性运行的农业水价形成机制。农</w:t>
      </w:r>
      <w:r>
        <w:rPr>
          <w:rFonts w:hint="eastAsia" w:ascii="仿宋_GB2312" w:hAnsi="黑体" w:eastAsia="仿宋_GB2312"/>
          <w:color w:val="000000" w:themeColor="text1"/>
          <w:sz w:val="32"/>
          <w:szCs w:val="32"/>
          <w14:textFill>
            <w14:solidFill>
              <w14:schemeClr w14:val="tx1"/>
            </w14:solidFill>
          </w14:textFill>
        </w:rPr>
        <w:t>业用水价格总体达到水利工程运行维护成本水平，经济作物和特色农业发展集中区域达到完全成本水平；完善农村基层用水组织，实施规范高效管理，实现多种管理形式并存和长效运转，农业水费计收基本到位；农业用水总量控制和定额管理普遍实行，先进适用的农业节水灌溉技术措施广泛应用；建立可持续的农业用水精准补贴和节水奖励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黑体" w:hAnsi="黑体" w:eastAsia="黑体"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四、改革任务与内容</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我区农业水价综合改革任务覆盖辖区内2.1万亩有效灌溉面积，主要涉及党家街道办事处、陡沟街道办事处共37个村。</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（一）完善农田水利工程计量设施。</w:t>
      </w:r>
      <w:r>
        <w:rPr>
          <w:rFonts w:hint="eastAsia" w:ascii="仿宋_GB2312" w:hAnsi="黑体" w:eastAsia="仿宋_GB2312"/>
          <w:color w:val="000000" w:themeColor="text1"/>
          <w:sz w:val="32"/>
          <w:szCs w:val="32"/>
          <w:lang w:val="en-US" w:eastAsia="zh-CN"/>
          <w14:textFill>
            <w14:solidFill>
              <w14:schemeClr w14:val="tx1"/>
            </w14:solidFill>
          </w14:textFill>
        </w:rPr>
        <w:t>区水务局</w:t>
      </w:r>
      <w:r>
        <w:rPr>
          <w:rFonts w:hint="eastAsia" w:ascii="仿宋_GB2312" w:hAnsi="黑体" w:eastAsia="仿宋_GB2312"/>
          <w:color w:val="000000" w:themeColor="text1"/>
          <w:sz w:val="32"/>
          <w:szCs w:val="32"/>
          <w14:textFill>
            <w14:solidFill>
              <w14:schemeClr w14:val="tx1"/>
            </w14:solidFill>
          </w14:textFill>
        </w:rPr>
        <w:t>通过以点带面</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设置典型井的方式，在37个改革村范围内合计安装40套计量设备，配套建设</w:t>
      </w:r>
      <w:r>
        <w:rPr>
          <w:rFonts w:hint="eastAsia" w:ascii="仿宋_GB2312" w:hAnsi="黑体" w:eastAsia="仿宋_GB2312"/>
          <w:color w:val="auto"/>
          <w:sz w:val="32"/>
          <w:szCs w:val="32"/>
        </w:rPr>
        <w:t>信息化软件平台系统，逐步实现用水计量、水费征收、总量控制、水权交易的信息化、自动化管理，不断提高综合管理水平。精准掌握农业用水水量，为农业用水精准补贴和节水奖励提供数据支持。</w:t>
      </w:r>
      <w:r>
        <w:rPr>
          <w:rFonts w:hint="eastAsia" w:ascii="仿宋_GB2312" w:hAnsi="黑体" w:eastAsia="仿宋_GB2312"/>
          <w:color w:val="auto"/>
          <w:sz w:val="32"/>
          <w:szCs w:val="32"/>
          <w:lang w:val="en-US" w:eastAsia="zh-CN"/>
        </w:rPr>
        <w:t>加强</w:t>
      </w:r>
      <w:r>
        <w:rPr>
          <w:rFonts w:hint="eastAsia" w:ascii="仿宋_GB2312" w:hAnsi="黑体" w:eastAsia="仿宋_GB2312"/>
          <w:color w:val="auto"/>
          <w:sz w:val="32"/>
          <w:szCs w:val="32"/>
        </w:rPr>
        <w:t>规范供水计量管理，结合水费计收要求</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由村集体或农村基层用水组织负责计量。卧虎山水库灌区可按</w:t>
      </w:r>
      <w:r>
        <w:rPr>
          <w:rFonts w:hint="eastAsia" w:ascii="仿宋_GB2312" w:hAnsi="黑体" w:eastAsia="仿宋_GB2312"/>
          <w:color w:val="auto"/>
          <w:sz w:val="32"/>
          <w:szCs w:val="32"/>
          <w:lang w:val="en-US" w:eastAsia="zh-CN"/>
        </w:rPr>
        <w:t>户</w:t>
      </w:r>
      <w:r>
        <w:rPr>
          <w:rFonts w:hint="eastAsia" w:ascii="仿宋_GB2312" w:hAnsi="黑体" w:eastAsia="仿宋_GB2312"/>
          <w:color w:val="auto"/>
          <w:sz w:val="32"/>
          <w:szCs w:val="32"/>
        </w:rPr>
        <w:t>计量</w:t>
      </w:r>
      <w:r>
        <w:rPr>
          <w:rFonts w:hint="eastAsia" w:ascii="仿宋_GB2312" w:hAnsi="黑体" w:eastAsia="仿宋_GB2312"/>
          <w:color w:val="auto"/>
          <w:sz w:val="32"/>
          <w:szCs w:val="32"/>
          <w:lang w:eastAsia="zh-CN"/>
        </w:rPr>
        <w:t>或</w:t>
      </w:r>
      <w:r>
        <w:rPr>
          <w:rFonts w:hint="eastAsia" w:ascii="仿宋_GB2312" w:hAnsi="黑体" w:eastAsia="仿宋_GB2312"/>
          <w:color w:val="auto"/>
          <w:sz w:val="32"/>
          <w:szCs w:val="32"/>
        </w:rPr>
        <w:t>按亩均摊</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逐步</w:t>
      </w:r>
      <w:r>
        <w:rPr>
          <w:rFonts w:hint="eastAsia" w:ascii="仿宋_GB2312" w:hAnsi="黑体" w:eastAsia="仿宋_GB2312"/>
          <w:color w:val="auto"/>
          <w:sz w:val="32"/>
          <w:szCs w:val="32"/>
          <w:lang w:val="en-US" w:eastAsia="zh-CN"/>
        </w:rPr>
        <w:t>将农业用水</w:t>
      </w:r>
      <w:r>
        <w:rPr>
          <w:rFonts w:hint="eastAsia" w:ascii="仿宋_GB2312" w:hAnsi="黑体" w:eastAsia="仿宋_GB2312"/>
          <w:color w:val="auto"/>
          <w:sz w:val="32"/>
          <w:szCs w:val="32"/>
        </w:rPr>
        <w:t>计量到地块</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末级渠系细化计量到用水单元；井灌区实行“以电定水、水电双控”等计量方式，</w:t>
      </w:r>
      <w:r>
        <w:rPr>
          <w:rFonts w:hint="eastAsia" w:ascii="仿宋_GB2312" w:hAnsi="黑体" w:eastAsia="仿宋_GB2312"/>
          <w:color w:val="000000" w:themeColor="text1"/>
          <w:sz w:val="32"/>
          <w:szCs w:val="32"/>
          <w:lang w:val="en-US" w:eastAsia="zh-CN"/>
          <w14:textFill>
            <w14:solidFill>
              <w14:schemeClr w14:val="tx1"/>
            </w14:solidFill>
          </w14:textFill>
        </w:rPr>
        <w:t>安装计量表的要</w:t>
      </w:r>
      <w:r>
        <w:rPr>
          <w:rFonts w:hint="eastAsia" w:ascii="仿宋_GB2312" w:hAnsi="黑体" w:eastAsia="仿宋_GB2312"/>
          <w:color w:val="000000" w:themeColor="text1"/>
          <w:sz w:val="32"/>
          <w:szCs w:val="32"/>
          <w14:textFill>
            <w14:solidFill>
              <w14:schemeClr w14:val="tx1"/>
            </w14:solidFill>
          </w14:textFill>
        </w:rPr>
        <w:t>计量到单井，有条件采用电磁流量计管理的要计量到户</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auto"/>
          <w:sz w:val="32"/>
          <w:szCs w:val="32"/>
        </w:rPr>
        <w:t>逐步推行按</w:t>
      </w:r>
      <w:r>
        <w:rPr>
          <w:rFonts w:hint="eastAsia" w:ascii="仿宋_GB2312" w:hAnsi="黑体" w:eastAsia="仿宋_GB2312"/>
          <w:color w:val="auto"/>
          <w:sz w:val="32"/>
          <w:szCs w:val="32"/>
          <w:lang w:val="en-US" w:eastAsia="zh-CN"/>
        </w:rPr>
        <w:t>户</w:t>
      </w:r>
      <w:r>
        <w:rPr>
          <w:rFonts w:hint="eastAsia" w:ascii="仿宋_GB2312" w:hAnsi="黑体" w:eastAsia="仿宋_GB2312"/>
          <w:color w:val="auto"/>
          <w:sz w:val="32"/>
          <w:szCs w:val="32"/>
        </w:rPr>
        <w:t>计量。</w:t>
      </w:r>
      <w:r>
        <w:rPr>
          <w:rFonts w:hint="eastAsia" w:ascii="仿宋_GB2312" w:hAnsi="黑体" w:eastAsia="仿宋_GB2312"/>
          <w:color w:val="000000" w:themeColor="text1"/>
          <w:sz w:val="32"/>
          <w:szCs w:val="32"/>
          <w:lang w:val="en-US" w:eastAsia="zh-CN"/>
          <w14:textFill>
            <w14:solidFill>
              <w14:schemeClr w14:val="tx1"/>
            </w14:solidFill>
          </w14:textFill>
        </w:rPr>
        <w:t>区农业农村局对</w:t>
      </w:r>
      <w:r>
        <w:rPr>
          <w:rFonts w:hint="eastAsia" w:ascii="仿宋_GB2312" w:hAnsi="黑体" w:eastAsia="仿宋_GB2312"/>
          <w:color w:val="000000" w:themeColor="text1"/>
          <w:sz w:val="32"/>
          <w:szCs w:val="32"/>
          <w14:textFill>
            <w14:solidFill>
              <w14:schemeClr w14:val="tx1"/>
            </w14:solidFill>
          </w14:textFill>
        </w:rPr>
        <w:t>新建、改扩建的农田水利工程要同步建设计量设施，尚未配备计量设施的已建工程要通过改造补足配齐。</w:t>
      </w:r>
    </w:p>
    <w:p>
      <w:pPr>
        <w:keepNext w:val="0"/>
        <w:keepLines w:val="0"/>
        <w:pageBreakBefore w:val="0"/>
        <w:numPr>
          <w:ilvl w:val="0"/>
          <w:numId w:val="0"/>
        </w:numPr>
        <w:kinsoku/>
        <w:wordWrap/>
        <w:overflowPunct/>
        <w:topLinePunct w:val="0"/>
        <w:autoSpaceDE/>
        <w:autoSpaceDN/>
        <w:bidi w:val="0"/>
        <w:adjustRightInd/>
        <w:spacing w:line="580" w:lineRule="exact"/>
        <w:ind w:leftChars="0" w:firstLine="640" w:firstLineChars="200"/>
        <w:jc w:val="both"/>
        <w:textAlignment w:val="auto"/>
        <w:rPr>
          <w:rFonts w:hint="eastAsia"/>
          <w:color w:val="auto"/>
          <w:lang w:val="en-US" w:eastAsia="zh-CN"/>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（二）改革农业供水成本测算与水价形成机制。</w:t>
      </w:r>
      <w:r>
        <w:rPr>
          <w:rFonts w:hint="eastAsia" w:ascii="仿宋_GB2312" w:hAnsi="仿宋_GB2312" w:eastAsia="仿宋_GB2312" w:cs="仿宋_GB2312"/>
          <w:color w:val="auto"/>
          <w:kern w:val="2"/>
          <w:sz w:val="32"/>
          <w:szCs w:val="32"/>
          <w:lang w:val="en-US" w:eastAsia="zh-CN" w:bidi="ar-SA"/>
        </w:rPr>
        <w:t>按照有利于促</w:t>
      </w:r>
      <w:r>
        <w:rPr>
          <w:rFonts w:hint="eastAsia" w:ascii="仿宋_GB2312" w:hAnsi="黑体" w:eastAsia="仿宋_GB2312" w:cstheme="minorBidi"/>
          <w:color w:val="auto"/>
          <w:kern w:val="2"/>
          <w:sz w:val="32"/>
          <w:szCs w:val="32"/>
          <w:lang w:val="en-US" w:eastAsia="zh-CN" w:bidi="ar-SA"/>
        </w:rPr>
        <w:t>进农业节水和农田水利工程良性运行的要求，完善农业水价政策和制度，规范农业用水的定价调价行为，进一步</w:t>
      </w:r>
      <w:r>
        <w:rPr>
          <w:rFonts w:hint="eastAsia" w:ascii="仿宋_GB2312" w:hAnsi="仿宋_GB2312" w:eastAsia="仿宋_GB2312" w:cs="仿宋_GB2312"/>
          <w:color w:val="auto"/>
          <w:kern w:val="2"/>
          <w:sz w:val="32"/>
          <w:szCs w:val="32"/>
          <w:lang w:val="en-US" w:eastAsia="zh-CN" w:bidi="ar-SA"/>
        </w:rPr>
        <w:t>建立健全农业水价形成机制。</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1.开展农民承受能力调查。</w:t>
      </w:r>
      <w:r>
        <w:rPr>
          <w:rFonts w:hint="eastAsia" w:ascii="仿宋_GB2312" w:hAnsi="黑体" w:eastAsia="仿宋_GB2312"/>
          <w:color w:val="000000" w:themeColor="text1"/>
          <w:sz w:val="32"/>
          <w:szCs w:val="32"/>
          <w:lang w:val="en-US" w:eastAsia="zh-CN"/>
          <w14:textFill>
            <w14:solidFill>
              <w14:schemeClr w14:val="tx1"/>
            </w14:solidFill>
          </w14:textFill>
        </w:rPr>
        <w:t>根据农民的</w:t>
      </w:r>
      <w:r>
        <w:rPr>
          <w:rFonts w:hint="eastAsia" w:ascii="仿宋_GB2312" w:hAnsi="黑体" w:eastAsia="仿宋_GB2312"/>
          <w:color w:val="000000" w:themeColor="text1"/>
          <w:sz w:val="32"/>
          <w:szCs w:val="32"/>
          <w14:textFill>
            <w14:solidFill>
              <w14:schemeClr w14:val="tx1"/>
            </w14:solidFill>
          </w14:textFill>
        </w:rPr>
        <w:t>种植结构及收益情况，调查农民水价承受能力并作为确定最终执行供水价格的参考依</w:t>
      </w:r>
      <w:r>
        <w:rPr>
          <w:rFonts w:hint="eastAsia" w:ascii="仿宋_GB2312" w:hAnsi="黑体" w:eastAsia="仿宋_GB2312"/>
          <w:color w:val="auto"/>
          <w:sz w:val="32"/>
          <w:szCs w:val="32"/>
        </w:rPr>
        <w:t>据。农民对水价的经济承受力，主要以水费占亩均产值的比例或占亩均纯收益的比例来测</w:t>
      </w:r>
      <w:r>
        <w:rPr>
          <w:rFonts w:hint="eastAsia" w:ascii="仿宋_GB2312" w:hAnsi="黑体" w:eastAsia="仿宋_GB2312"/>
          <w:color w:val="000000" w:themeColor="text1"/>
          <w:sz w:val="32"/>
          <w:szCs w:val="32"/>
          <w14:textFill>
            <w14:solidFill>
              <w14:schemeClr w14:val="tx1"/>
            </w14:solidFill>
          </w14:textFill>
        </w:rPr>
        <w:t>算，前者一般为5%</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8%，后者一般为10%</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13%。具体比例可综合种植作物类型、经济条件等因素确定。</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2.核算农业供水成本。</w:t>
      </w:r>
      <w:r>
        <w:rPr>
          <w:rFonts w:hint="eastAsia" w:ascii="仿宋_GB2312" w:hAnsi="黑体" w:eastAsia="仿宋_GB2312"/>
          <w:color w:val="000000" w:themeColor="text1"/>
          <w:sz w:val="32"/>
          <w:szCs w:val="32"/>
          <w14:textFill>
            <w14:solidFill>
              <w14:schemeClr w14:val="tx1"/>
            </w14:solidFill>
          </w14:textFill>
        </w:rPr>
        <w:t>农业供水成本主要包括固定资产折旧、工程运行维护费、人员经费、动力费、水资源费等。农业供水成本可由区发展改革局或委托第三方机构根据实际用水情况，按照供水工程的</w:t>
      </w:r>
      <w:r>
        <w:rPr>
          <w:rFonts w:hint="eastAsia" w:ascii="仿宋_GB2312" w:hAnsi="黑体" w:eastAsia="仿宋_GB2312"/>
          <w:color w:val="000000" w:themeColor="text1"/>
          <w:sz w:val="32"/>
          <w:szCs w:val="32"/>
          <w:lang w:val="en-US" w:eastAsia="zh-CN"/>
          <w14:textFill>
            <w14:solidFill>
              <w14:schemeClr w14:val="tx1"/>
            </w14:solidFill>
          </w14:textFill>
        </w:rPr>
        <w:t>类</w:t>
      </w:r>
      <w:r>
        <w:rPr>
          <w:rFonts w:hint="eastAsia" w:ascii="仿宋_GB2312" w:hAnsi="黑体" w:eastAsia="仿宋_GB2312"/>
          <w:color w:val="000000" w:themeColor="text1"/>
          <w:sz w:val="32"/>
          <w:szCs w:val="32"/>
          <w14:textFill>
            <w14:solidFill>
              <w14:schemeClr w14:val="tx1"/>
            </w14:solidFill>
          </w14:textFill>
        </w:rPr>
        <w:t>别进行</w:t>
      </w:r>
      <w:r>
        <w:rPr>
          <w:rFonts w:hint="eastAsia" w:ascii="仿宋_GB2312" w:hAnsi="黑体" w:eastAsia="仿宋_GB2312"/>
          <w:color w:val="000000" w:themeColor="text1"/>
          <w:sz w:val="32"/>
          <w:szCs w:val="32"/>
          <w:lang w:val="en-US" w:eastAsia="zh-CN"/>
          <w14:textFill>
            <w14:solidFill>
              <w14:schemeClr w14:val="tx1"/>
            </w14:solidFill>
          </w14:textFill>
        </w:rPr>
        <w:t>分类</w:t>
      </w:r>
      <w:r>
        <w:rPr>
          <w:rFonts w:hint="eastAsia" w:ascii="仿宋_GB2312" w:hAnsi="黑体" w:eastAsia="仿宋_GB2312"/>
          <w:color w:val="000000" w:themeColor="text1"/>
          <w:sz w:val="32"/>
          <w:szCs w:val="32"/>
          <w14:textFill>
            <w14:solidFill>
              <w14:schemeClr w14:val="tx1"/>
            </w14:solidFill>
          </w14:textFill>
        </w:rPr>
        <w:t>测算。基层水管单位、村委</w:t>
      </w:r>
      <w:r>
        <w:rPr>
          <w:rFonts w:hint="eastAsia" w:ascii="仿宋_GB2312" w:hAnsi="黑体" w:eastAsia="仿宋_GB2312"/>
          <w:color w:val="000000" w:themeColor="text1"/>
          <w:spacing w:val="-6"/>
          <w:sz w:val="32"/>
          <w:szCs w:val="32"/>
          <w14:textFill>
            <w14:solidFill>
              <w14:schemeClr w14:val="tx1"/>
            </w14:solidFill>
          </w14:textFill>
        </w:rPr>
        <w:t>会或基层用水组织配合进行</w:t>
      </w:r>
      <w:r>
        <w:rPr>
          <w:rFonts w:hint="eastAsia" w:ascii="仿宋_GB2312" w:hAnsi="黑体" w:eastAsia="仿宋_GB2312"/>
          <w:color w:val="000000" w:themeColor="text1"/>
          <w:spacing w:val="-6"/>
          <w:sz w:val="32"/>
          <w:szCs w:val="32"/>
          <w:lang w:val="en-US" w:eastAsia="zh-CN"/>
          <w14:textFill>
            <w14:solidFill>
              <w14:schemeClr w14:val="tx1"/>
            </w14:solidFill>
          </w14:textFill>
        </w:rPr>
        <w:t>农田水利工程的</w:t>
      </w:r>
      <w:r>
        <w:rPr>
          <w:rFonts w:hint="eastAsia" w:ascii="仿宋_GB2312" w:hAnsi="黑体" w:eastAsia="仿宋_GB2312"/>
          <w:color w:val="000000" w:themeColor="text1"/>
          <w:spacing w:val="-6"/>
          <w:sz w:val="32"/>
          <w:szCs w:val="32"/>
          <w14:textFill>
            <w14:solidFill>
              <w14:schemeClr w14:val="tx1"/>
            </w14:solidFill>
          </w14:textFill>
        </w:rPr>
        <w:t>农业供水成本测算。</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3.推</w:t>
      </w:r>
      <w:r>
        <w:rPr>
          <w:rFonts w:hint="eastAsia" w:ascii="仿宋_GB2312" w:hAnsi="黑体" w:eastAsia="仿宋_GB2312" w:cstheme="minorBidi"/>
          <w:color w:val="auto"/>
          <w:kern w:val="2"/>
          <w:sz w:val="32"/>
          <w:szCs w:val="32"/>
          <w:lang w:val="en-US" w:eastAsia="zh-CN" w:bidi="ar-SA"/>
        </w:rPr>
        <w:t>行分级执行农业水价。</w:t>
      </w:r>
      <w:r>
        <w:rPr>
          <w:rFonts w:hint="eastAsia" w:ascii="仿宋_GB2312" w:hAnsi="黑体" w:eastAsia="仿宋_GB2312"/>
          <w:color w:val="000000" w:themeColor="text1"/>
          <w:sz w:val="32"/>
          <w:szCs w:val="32"/>
          <w14:textFill>
            <w14:solidFill>
              <w14:schemeClr w14:val="tx1"/>
            </w14:solidFill>
          </w14:textFill>
        </w:rPr>
        <w:t>全区农业水价按照价格管理权限实行分</w:t>
      </w:r>
      <w:r>
        <w:rPr>
          <w:rFonts w:hint="eastAsia" w:ascii="仿宋_GB2312" w:hAnsi="黑体" w:eastAsia="仿宋_GB2312"/>
          <w:color w:val="000000" w:themeColor="text1"/>
          <w:sz w:val="32"/>
          <w:szCs w:val="32"/>
          <w:lang w:eastAsia="zh-CN"/>
          <w14:textFill>
            <w14:solidFill>
              <w14:schemeClr w14:val="tx1"/>
            </w14:solidFill>
          </w14:textFill>
        </w:rPr>
        <w:t>级</w:t>
      </w:r>
      <w:r>
        <w:rPr>
          <w:rFonts w:hint="eastAsia" w:ascii="仿宋_GB2312" w:hAnsi="黑体" w:eastAsia="仿宋_GB2312"/>
          <w:color w:val="000000" w:themeColor="text1"/>
          <w:sz w:val="32"/>
          <w:szCs w:val="32"/>
          <w14:textFill>
            <w14:solidFill>
              <w14:schemeClr w14:val="tx1"/>
            </w14:solidFill>
          </w14:textFill>
        </w:rPr>
        <w:t>管理。实行政府定价的，由区发展改革局按程序进行成本监审。实行协商定价的，由供需双方在平等自愿的基础上，按照有利于促进节水、保障工程良性运行和农业生产发展的原则在政府指导价格区间内确定。</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theme="minorBidi"/>
          <w:color w:val="000000" w:themeColor="text1"/>
          <w:kern w:val="2"/>
          <w:sz w:val="32"/>
          <w:szCs w:val="32"/>
          <w:lang w:val="en-US" w:eastAsia="zh-CN" w:bidi="ar-SA"/>
          <w14:textFill>
            <w14:solidFill>
              <w14:schemeClr w14:val="tx1"/>
            </w14:solidFill>
          </w14:textFill>
        </w:rPr>
        <w:t>4.实现分类分档水价。结</w:t>
      </w:r>
      <w:r>
        <w:rPr>
          <w:rFonts w:hint="eastAsia" w:ascii="仿宋_GB2312" w:hAnsi="黑体" w:eastAsia="仿宋_GB2312"/>
          <w:color w:val="000000" w:themeColor="text1"/>
          <w:sz w:val="32"/>
          <w:szCs w:val="32"/>
          <w14:textFill>
            <w14:solidFill>
              <w14:schemeClr w14:val="tx1"/>
            </w14:solidFill>
          </w14:textFill>
        </w:rPr>
        <w:t>合</w:t>
      </w:r>
      <w:r>
        <w:rPr>
          <w:rFonts w:hint="eastAsia" w:ascii="仿宋_GB2312" w:hAnsi="黑体" w:eastAsia="仿宋_GB2312"/>
          <w:color w:val="000000" w:themeColor="text1"/>
          <w:sz w:val="32"/>
          <w:szCs w:val="32"/>
          <w:lang w:val="en-US" w:eastAsia="zh-CN"/>
          <w14:textFill>
            <w14:solidFill>
              <w14:schemeClr w14:val="tx1"/>
            </w14:solidFill>
          </w14:textFill>
        </w:rPr>
        <w:t>我</w:t>
      </w:r>
      <w:r>
        <w:rPr>
          <w:rFonts w:hint="eastAsia" w:ascii="仿宋_GB2312" w:hAnsi="黑体" w:eastAsia="仿宋_GB2312"/>
          <w:color w:val="000000" w:themeColor="text1"/>
          <w:sz w:val="32"/>
          <w:szCs w:val="32"/>
          <w14:textFill>
            <w14:solidFill>
              <w14:schemeClr w14:val="tx1"/>
            </w14:solidFill>
          </w14:textFill>
        </w:rPr>
        <w:t>区实际及农业发展政策，区分不同的农业种养结构、供水来源，实行分类水价。其中，经济作物、设施农业和养殖业用水价格要高于粮食作物；地下水价格要高于地表水；常规水源价格要高于非常规水源。区分农业用水定额与用量、供给与需求的不同档次，实行分档水价。以核定的灌溉定额作为基准，按照“多用水多付费”的原则，确定多个阶梯和相应的加价幅度，推行超定额累进加价。</w:t>
      </w:r>
    </w:p>
    <w:p>
      <w:pPr>
        <w:keepNext w:val="0"/>
        <w:keepLines w:val="0"/>
        <w:pageBreakBefore w:val="0"/>
        <w:widowControl/>
        <w:kinsoku/>
        <w:wordWrap/>
        <w:overflowPunct/>
        <w:topLinePunct w:val="0"/>
        <w:autoSpaceDE/>
        <w:autoSpaceDN/>
        <w:bidi w:val="0"/>
        <w:adjustRightInd/>
        <w:snapToGrid/>
        <w:spacing w:line="580" w:lineRule="exact"/>
        <w:ind w:leftChars="0" w:firstLine="640" w:firstLineChars="200"/>
        <w:jc w:val="both"/>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（三）建立改革农业用水水权制度。</w:t>
      </w:r>
    </w:p>
    <w:p>
      <w:pPr>
        <w:keepNext w:val="0"/>
        <w:keepLines w:val="0"/>
        <w:pageBreakBefore w:val="0"/>
        <w:widowControl/>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w:t>
      </w:r>
      <w:r>
        <w:rPr>
          <w:rFonts w:hint="eastAsia" w:ascii="仿宋_GB2312" w:hAnsi="黑体" w:eastAsia="仿宋_GB2312"/>
          <w:color w:val="auto"/>
          <w:sz w:val="32"/>
          <w:szCs w:val="32"/>
          <w:lang w:val="en-US" w:eastAsia="zh-CN"/>
        </w:rPr>
        <w:t>.合理分配农业初始水权。根据上级分配我区的农业用水总量控制目标和各村有效灌溉面积，明确各村总水权并核算用水户农业初始水权。</w:t>
      </w:r>
      <w:r>
        <w:rPr>
          <w:rFonts w:hint="eastAsia" w:ascii="仿宋_GB2312" w:hAnsi="黑体" w:eastAsia="仿宋_GB2312"/>
          <w:color w:val="auto"/>
          <w:sz w:val="32"/>
          <w:szCs w:val="32"/>
        </w:rPr>
        <w:t>区水务局可</w:t>
      </w:r>
      <w:r>
        <w:rPr>
          <w:rFonts w:hint="eastAsia" w:ascii="仿宋_GB2312" w:hAnsi="黑体" w:eastAsia="仿宋_GB2312"/>
          <w:color w:val="000000" w:themeColor="text1"/>
          <w:sz w:val="32"/>
          <w:szCs w:val="32"/>
          <w14:textFill>
            <w14:solidFill>
              <w14:schemeClr w14:val="tx1"/>
            </w14:solidFill>
          </w14:textFill>
        </w:rPr>
        <w:t>根据管理需要向用水单位或基层用水管理组织颁发集体水权证，也可向用水个人颁发水权证书，并注明水源、水量、用途、期限、转让条件等，明确用水权利和义务。</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2.实施灌溉定额管理。</w:t>
      </w:r>
      <w:r>
        <w:rPr>
          <w:rFonts w:hint="eastAsia" w:ascii="仿宋_GB2312" w:hAnsi="黑体" w:eastAsia="仿宋_GB2312"/>
          <w:color w:val="000000" w:themeColor="text1"/>
          <w:sz w:val="32"/>
          <w:szCs w:val="32"/>
          <w14:textFill>
            <w14:solidFill>
              <w14:schemeClr w14:val="tx1"/>
            </w14:solidFill>
          </w14:textFill>
        </w:rPr>
        <w:t>根据</w:t>
      </w:r>
      <w:r>
        <w:rPr>
          <w:rFonts w:hint="eastAsia" w:ascii="仿宋_GB2312" w:hAnsi="黑体" w:eastAsia="仿宋_GB2312"/>
          <w:color w:val="000000" w:themeColor="text1"/>
          <w:sz w:val="32"/>
          <w:szCs w:val="32"/>
          <w:lang w:val="en-US" w:eastAsia="zh-CN"/>
          <w14:textFill>
            <w14:solidFill>
              <w14:schemeClr w14:val="tx1"/>
            </w14:solidFill>
          </w14:textFill>
        </w:rPr>
        <w:t>我区</w:t>
      </w:r>
      <w:r>
        <w:rPr>
          <w:rFonts w:hint="eastAsia" w:ascii="仿宋_GB2312" w:hAnsi="黑体" w:eastAsia="仿宋_GB2312"/>
          <w:color w:val="000000" w:themeColor="text1"/>
          <w:sz w:val="32"/>
          <w:szCs w:val="32"/>
          <w14:textFill>
            <w14:solidFill>
              <w14:schemeClr w14:val="tx1"/>
            </w14:solidFill>
          </w14:textFill>
        </w:rPr>
        <w:t>实际灌溉情况，参考《山东省主要农作物灌溉定额》</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DB37/T1640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2015</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标准，确定农业用水基本定额；根据工程类型、取水方式、灌区规模等确定调节系数，分别核定不同粮食作物、经济作物、养殖产品等用水定额。对于复种指数高的地区，可按照各类作物的种植面积及用水定额，加权平均计算亩均综合用水定额。</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3.推动水权转让交易。</w:t>
      </w:r>
      <w:r>
        <w:rPr>
          <w:rFonts w:hint="eastAsia" w:ascii="仿宋_GB2312" w:hAnsi="黑体" w:eastAsia="仿宋_GB2312"/>
          <w:color w:val="000000" w:themeColor="text1"/>
          <w:sz w:val="32"/>
          <w:szCs w:val="32"/>
          <w14:textFill>
            <w14:solidFill>
              <w14:schemeClr w14:val="tx1"/>
            </w14:solidFill>
          </w14:textFill>
        </w:rPr>
        <w:t>区水务局负责建立水权交易平台</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制定</w:t>
      </w:r>
      <w:r>
        <w:rPr>
          <w:rFonts w:hint="eastAsia" w:ascii="仿宋_GB2312" w:hAnsi="黑体" w:eastAsia="仿宋_GB2312"/>
          <w:color w:val="000000" w:themeColor="text1"/>
          <w:sz w:val="32"/>
          <w:szCs w:val="32"/>
          <w:lang w:val="en-US" w:eastAsia="zh-CN"/>
          <w14:textFill>
            <w14:solidFill>
              <w14:schemeClr w14:val="tx1"/>
            </w14:solidFill>
          </w14:textFill>
        </w:rPr>
        <w:t>农业</w:t>
      </w:r>
      <w:r>
        <w:rPr>
          <w:rFonts w:hint="eastAsia" w:ascii="仿宋_GB2312" w:hAnsi="黑体" w:eastAsia="仿宋_GB2312"/>
          <w:color w:val="000000" w:themeColor="text1"/>
          <w:sz w:val="32"/>
          <w:szCs w:val="32"/>
          <w14:textFill>
            <w14:solidFill>
              <w14:schemeClr w14:val="tx1"/>
            </w14:solidFill>
          </w14:textFill>
        </w:rPr>
        <w:t>水权分配、交易等具体管理办法并监督实施。鼓励用水户节约用水，在不影响粮食基本用水的前提下，允许农业水权流转并从中获益。土地承包经营权流转时，农业水权一并流转使用。年度未完成交易的富余农业水权，区水务局、</w:t>
      </w:r>
      <w:r>
        <w:rPr>
          <w:rFonts w:hint="eastAsia" w:ascii="仿宋_GB2312" w:hAnsi="黑体" w:eastAsia="仿宋_GB2312"/>
          <w:color w:val="auto"/>
          <w:sz w:val="32"/>
          <w:szCs w:val="32"/>
          <w:lang w:eastAsia="zh-CN"/>
        </w:rPr>
        <w:t>相关</w:t>
      </w:r>
      <w:r>
        <w:rPr>
          <w:rFonts w:hint="eastAsia" w:ascii="仿宋_GB2312" w:hAnsi="黑体" w:eastAsia="仿宋_GB2312"/>
          <w:color w:val="auto"/>
          <w:sz w:val="32"/>
          <w:szCs w:val="32"/>
        </w:rPr>
        <w:t>街道</w:t>
      </w:r>
      <w:r>
        <w:rPr>
          <w:rFonts w:hint="eastAsia" w:ascii="仿宋_GB2312" w:hAnsi="黑体" w:eastAsia="仿宋_GB2312"/>
          <w:color w:val="auto"/>
          <w:sz w:val="32"/>
          <w:szCs w:val="32"/>
          <w:lang w:eastAsia="zh-CN"/>
        </w:rPr>
        <w:t>办事处</w:t>
      </w:r>
      <w:r>
        <w:rPr>
          <w:rFonts w:hint="eastAsia" w:ascii="仿宋_GB2312" w:hAnsi="黑体" w:eastAsia="仿宋_GB2312"/>
          <w:color w:val="auto"/>
          <w:sz w:val="32"/>
          <w:szCs w:val="32"/>
        </w:rPr>
        <w:t>、灌区管理单位、基层用水组织等可按照政府指导价予以回购；</w:t>
      </w:r>
      <w:r>
        <w:rPr>
          <w:rFonts w:hint="eastAsia" w:ascii="仿宋_GB2312" w:hAnsi="黑体" w:eastAsia="仿宋_GB2312"/>
          <w:color w:val="auto"/>
          <w:sz w:val="32"/>
          <w:szCs w:val="32"/>
          <w:lang w:eastAsia="zh-CN"/>
        </w:rPr>
        <w:t>相关</w:t>
      </w:r>
      <w:r>
        <w:rPr>
          <w:rFonts w:hint="eastAsia" w:ascii="仿宋_GB2312" w:hAnsi="黑体" w:eastAsia="仿宋_GB2312"/>
          <w:color w:val="auto"/>
          <w:sz w:val="32"/>
          <w:szCs w:val="32"/>
        </w:rPr>
        <w:t>街道</w:t>
      </w:r>
      <w:r>
        <w:rPr>
          <w:rFonts w:hint="eastAsia" w:ascii="仿宋_GB2312" w:hAnsi="黑体" w:eastAsia="仿宋_GB2312"/>
          <w:color w:val="auto"/>
          <w:sz w:val="32"/>
          <w:szCs w:val="32"/>
          <w:lang w:eastAsia="zh-CN"/>
        </w:rPr>
        <w:t>办事处</w:t>
      </w:r>
      <w:r>
        <w:rPr>
          <w:rFonts w:hint="eastAsia" w:ascii="仿宋_GB2312" w:hAnsi="黑体" w:eastAsia="仿宋_GB2312"/>
          <w:color w:val="auto"/>
          <w:sz w:val="32"/>
          <w:szCs w:val="32"/>
        </w:rPr>
        <w:t>在满足区域内农业用水前提</w:t>
      </w:r>
      <w:r>
        <w:rPr>
          <w:rFonts w:hint="eastAsia" w:ascii="仿宋_GB2312" w:hAnsi="黑体" w:eastAsia="仿宋_GB2312"/>
          <w:color w:val="000000" w:themeColor="text1"/>
          <w:sz w:val="32"/>
          <w:szCs w:val="32"/>
          <w14:textFill>
            <w14:solidFill>
              <w14:schemeClr w14:val="tx1"/>
            </w14:solidFill>
          </w14:textFill>
        </w:rPr>
        <w:t>下，推行节水量跨区域、跨行业转让。</w:t>
      </w:r>
      <w:r>
        <w:rPr>
          <w:rFonts w:hint="eastAsia" w:ascii="仿宋_GB2312" w:hAnsi="黑体" w:eastAsia="仿宋_GB2312"/>
          <w:color w:val="000000" w:themeColor="text1"/>
          <w:sz w:val="32"/>
          <w:szCs w:val="32"/>
          <w:lang w:val="en-US" w:eastAsia="zh-CN"/>
          <w14:textFill>
            <w14:solidFill>
              <w14:schemeClr w14:val="tx1"/>
            </w14:solidFill>
          </w14:textFill>
        </w:rPr>
        <w:t>全区范围</w:t>
      </w:r>
      <w:r>
        <w:rPr>
          <w:rFonts w:hint="eastAsia" w:ascii="仿宋_GB2312" w:hAnsi="黑体" w:eastAsia="仿宋_GB2312"/>
          <w:color w:val="000000" w:themeColor="text1"/>
          <w:sz w:val="32"/>
          <w:szCs w:val="32"/>
          <w14:textFill>
            <w14:solidFill>
              <w14:schemeClr w14:val="tx1"/>
            </w14:solidFill>
          </w14:textFill>
        </w:rPr>
        <w:t>内的农业水权交易由区水务局负责，跨区的农业水权交易由上</w:t>
      </w:r>
      <w:r>
        <w:rPr>
          <w:rFonts w:hint="eastAsia" w:ascii="仿宋_GB2312" w:hAnsi="黑体" w:eastAsia="仿宋_GB2312"/>
          <w:color w:val="000000" w:themeColor="text1"/>
          <w:sz w:val="32"/>
          <w:szCs w:val="32"/>
          <w:lang w:val="en-US" w:eastAsia="zh-CN"/>
          <w14:textFill>
            <w14:solidFill>
              <w14:schemeClr w14:val="tx1"/>
            </w14:solidFill>
          </w14:textFill>
        </w:rPr>
        <w:t>一</w:t>
      </w:r>
      <w:r>
        <w:rPr>
          <w:rFonts w:hint="eastAsia" w:ascii="仿宋_GB2312" w:hAnsi="黑体" w:eastAsia="仿宋_GB2312"/>
          <w:color w:val="000000" w:themeColor="text1"/>
          <w:sz w:val="32"/>
          <w:szCs w:val="32"/>
          <w14:textFill>
            <w14:solidFill>
              <w14:schemeClr w14:val="tx1"/>
            </w14:solidFill>
          </w14:textFill>
        </w:rPr>
        <w:t>级水行政主管部门负责监督管理。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（四）完善农业用水节水激励和精准补贴机制。</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实行精准补贴。建立与节水成效、调价幅度、财力状况相匹配的农业用水精准补贴机制。在发挥水价促进节水杠杆作用的同时，确保总体不增加农户定额内用水的水费支出，保障农户合理用水权益，保护农民种粮积极性。具体补贴程序、方式以及资金使用管理等，由</w:t>
      </w:r>
      <w:r>
        <w:rPr>
          <w:rFonts w:hint="eastAsia" w:ascii="仿宋_GB2312" w:hAnsi="黑体" w:eastAsia="仿宋_GB2312"/>
          <w:color w:val="000000" w:themeColor="text1"/>
          <w:sz w:val="32"/>
          <w:szCs w:val="32"/>
          <w:lang w:val="en-US" w:eastAsia="zh-CN"/>
          <w14:textFill>
            <w14:solidFill>
              <w14:schemeClr w14:val="tx1"/>
            </w14:solidFill>
          </w14:textFill>
        </w:rPr>
        <w:t>区财政局会同</w:t>
      </w:r>
      <w:r>
        <w:rPr>
          <w:rFonts w:hint="eastAsia" w:ascii="仿宋_GB2312" w:hAnsi="黑体" w:eastAsia="仿宋_GB2312"/>
          <w:color w:val="000000" w:themeColor="text1"/>
          <w:sz w:val="32"/>
          <w:szCs w:val="32"/>
          <w14:textFill>
            <w14:solidFill>
              <w14:schemeClr w14:val="tx1"/>
            </w14:solidFill>
          </w14:textFill>
        </w:rPr>
        <w:t>区水务局统一制定。</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2.实施节水奖励。建立易于操作、用户普遍接受的奖励机制，对积极推广应用工程节水、农艺节水、调整种植结构</w:t>
      </w:r>
      <w:r>
        <w:rPr>
          <w:rFonts w:hint="eastAsia" w:ascii="仿宋_GB2312" w:hAnsi="黑体" w:eastAsia="仿宋_GB2312"/>
          <w:color w:val="000000" w:themeColor="text1"/>
          <w:sz w:val="32"/>
          <w:szCs w:val="32"/>
          <w:lang w:eastAsia="zh-CN"/>
          <w14:textFill>
            <w14:solidFill>
              <w14:schemeClr w14:val="tx1"/>
            </w14:solidFill>
          </w14:textFill>
        </w:rPr>
        <w:t>并</w:t>
      </w:r>
      <w:r>
        <w:rPr>
          <w:rFonts w:hint="eastAsia" w:ascii="仿宋_GB2312" w:hAnsi="黑体" w:eastAsia="仿宋_GB2312"/>
          <w:color w:val="000000" w:themeColor="text1"/>
          <w:sz w:val="32"/>
          <w:szCs w:val="32"/>
          <w14:textFill>
            <w14:solidFill>
              <w14:schemeClr w14:val="tx1"/>
            </w14:solidFill>
          </w14:textFill>
        </w:rPr>
        <w:t>取得明显节水成效的农业用水主体给予奖励，重点奖励农村基层用水组织、新型农业经营主体和种粮大户等。</w:t>
      </w:r>
      <w:r>
        <w:rPr>
          <w:rFonts w:hint="eastAsia" w:ascii="仿宋_GB2312" w:hAnsi="黑体" w:eastAsia="仿宋_GB2312"/>
          <w:color w:val="auto"/>
          <w:sz w:val="32"/>
          <w:szCs w:val="32"/>
        </w:rPr>
        <w:t>对于未发生实际灌溉</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因种植面积缩减或者转产等非节水因素引起用水量下降的，不予奖励。奖励标准主要考虑节水水量、</w:t>
      </w:r>
      <w:r>
        <w:rPr>
          <w:rFonts w:hint="eastAsia" w:ascii="仿宋_GB2312" w:hAnsi="黑体" w:eastAsia="仿宋_GB2312"/>
          <w:color w:val="000000" w:themeColor="text1"/>
          <w:sz w:val="32"/>
          <w:szCs w:val="32"/>
          <w14:textFill>
            <w14:solidFill>
              <w14:schemeClr w14:val="tx1"/>
            </w14:solidFill>
          </w14:textFill>
        </w:rPr>
        <w:t>示范作用、影响效应等因素，具体奖励标准</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奖励</w:t>
      </w:r>
      <w:r>
        <w:rPr>
          <w:rFonts w:hint="eastAsia" w:ascii="仿宋_GB2312" w:hAnsi="黑体" w:eastAsia="仿宋_GB2312"/>
          <w:color w:val="000000" w:themeColor="text1"/>
          <w:sz w:val="32"/>
          <w:szCs w:val="32"/>
          <w14:textFill>
            <w14:solidFill>
              <w14:schemeClr w14:val="tx1"/>
            </w14:solidFill>
          </w14:textFill>
        </w:rPr>
        <w:t>程序以及资金使用管理等，由</w:t>
      </w:r>
      <w:r>
        <w:rPr>
          <w:rFonts w:hint="eastAsia" w:ascii="仿宋_GB2312" w:hAnsi="黑体" w:eastAsia="仿宋_GB2312"/>
          <w:color w:val="000000" w:themeColor="text1"/>
          <w:sz w:val="32"/>
          <w:szCs w:val="32"/>
          <w:lang w:val="en-US" w:eastAsia="zh-CN"/>
          <w14:textFill>
            <w14:solidFill>
              <w14:schemeClr w14:val="tx1"/>
            </w14:solidFill>
          </w14:textFill>
        </w:rPr>
        <w:t>区财政局会同</w:t>
      </w:r>
      <w:r>
        <w:rPr>
          <w:rFonts w:hint="eastAsia" w:ascii="仿宋_GB2312" w:hAnsi="黑体" w:eastAsia="仿宋_GB2312"/>
          <w:color w:val="000000" w:themeColor="text1"/>
          <w:sz w:val="32"/>
          <w:szCs w:val="32"/>
          <w14:textFill>
            <w14:solidFill>
              <w14:schemeClr w14:val="tx1"/>
            </w14:solidFill>
          </w14:textFill>
        </w:rPr>
        <w:t>区水务局统一制定。</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000000" w:themeColor="text1"/>
          <w:sz w:val="32"/>
          <w:szCs w:val="32"/>
          <w:lang w:val="en-US" w:eastAsia="zh-CN"/>
          <w14:textFill>
            <w14:solidFill>
              <w14:schemeClr w14:val="tx1"/>
            </w14:solidFill>
          </w14:textFill>
        </w:rPr>
        <w:t>五</w:t>
      </w:r>
      <w:r>
        <w:rPr>
          <w:rFonts w:hint="eastAsia" w:ascii="楷体_GB2312" w:hAnsi="黑体" w:eastAsia="楷体_GB2312"/>
          <w:color w:val="000000" w:themeColor="text1"/>
          <w:sz w:val="32"/>
          <w:szCs w:val="32"/>
          <w14:textFill>
            <w14:solidFill>
              <w14:schemeClr w14:val="tx1"/>
            </w14:solidFill>
          </w14:textFill>
        </w:rPr>
        <w:t>）创新农业用水管理方式。</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w:t>
      </w:r>
      <w:r>
        <w:rPr>
          <w:rFonts w:hint="eastAsia" w:ascii="仿宋_GB2312" w:hAnsi="黑体" w:eastAsia="仿宋_GB2312"/>
          <w:color w:val="000000" w:themeColor="text1"/>
          <w:sz w:val="32"/>
          <w:szCs w:val="32"/>
          <w:lang w:val="en-US" w:eastAsia="zh-CN"/>
          <w14:textFill>
            <w14:solidFill>
              <w14:schemeClr w14:val="tx1"/>
            </w14:solidFill>
          </w14:textFill>
        </w:rPr>
        <w:t>组建</w:t>
      </w:r>
      <w:r>
        <w:rPr>
          <w:rFonts w:hint="eastAsia" w:ascii="仿宋_GB2312" w:hAnsi="黑体" w:eastAsia="仿宋_GB2312"/>
          <w:color w:val="000000" w:themeColor="text1"/>
          <w:sz w:val="32"/>
          <w:szCs w:val="32"/>
          <w14:textFill>
            <w14:solidFill>
              <w14:schemeClr w14:val="tx1"/>
            </w14:solidFill>
          </w14:textFill>
        </w:rPr>
        <w:t>基层</w:t>
      </w:r>
      <w:r>
        <w:rPr>
          <w:rFonts w:hint="eastAsia" w:ascii="仿宋_GB2312" w:hAnsi="黑体" w:eastAsia="仿宋_GB2312"/>
          <w:color w:val="000000" w:themeColor="text1"/>
          <w:sz w:val="32"/>
          <w:szCs w:val="32"/>
          <w:lang w:val="en-US" w:eastAsia="zh-CN"/>
          <w14:textFill>
            <w14:solidFill>
              <w14:schemeClr w14:val="tx1"/>
            </w14:solidFill>
          </w14:textFill>
        </w:rPr>
        <w:t>用水</w:t>
      </w:r>
      <w:r>
        <w:rPr>
          <w:rFonts w:hint="eastAsia" w:ascii="仿宋_GB2312" w:hAnsi="黑体" w:eastAsia="仿宋_GB2312"/>
          <w:color w:val="000000" w:themeColor="text1"/>
          <w:sz w:val="32"/>
          <w:szCs w:val="32"/>
          <w14:textFill>
            <w14:solidFill>
              <w14:schemeClr w14:val="tx1"/>
            </w14:solidFill>
          </w14:textFill>
        </w:rPr>
        <w:t>组织。鼓励群众自愿组建不同形式、不同规模的基层用水组织，通过承担农田水利工程的管护义务获得收益，</w:t>
      </w:r>
      <w:r>
        <w:rPr>
          <w:rFonts w:hint="eastAsia" w:ascii="仿宋_GB2312" w:hAnsi="黑体" w:eastAsia="仿宋_GB2312"/>
          <w:color w:val="000000" w:themeColor="text1"/>
          <w:sz w:val="32"/>
          <w:szCs w:val="32"/>
          <w:lang w:val="en-US" w:eastAsia="zh-CN"/>
          <w14:textFill>
            <w14:solidFill>
              <w14:schemeClr w14:val="tx1"/>
            </w14:solidFill>
          </w14:textFill>
        </w:rPr>
        <w:t>区</w:t>
      </w:r>
      <w:r>
        <w:rPr>
          <w:rFonts w:hint="eastAsia" w:ascii="仿宋_GB2312" w:hAnsi="黑体" w:eastAsia="仿宋_GB2312"/>
          <w:color w:val="000000" w:themeColor="text1"/>
          <w:sz w:val="32"/>
          <w:szCs w:val="32"/>
          <w14:textFill>
            <w14:solidFill>
              <w14:schemeClr w14:val="tx1"/>
            </w14:solidFill>
          </w14:textFill>
        </w:rPr>
        <w:t>级财政要给予有力扶持。可</w:t>
      </w:r>
      <w:r>
        <w:rPr>
          <w:rFonts w:hint="eastAsia" w:ascii="仿宋_GB2312" w:hAnsi="黑体" w:eastAsia="仿宋_GB2312"/>
          <w:color w:val="auto"/>
          <w:sz w:val="32"/>
          <w:szCs w:val="32"/>
        </w:rPr>
        <w:t>成立区、街道、村多级联合的服务公司、服务中心；</w:t>
      </w:r>
      <w:r>
        <w:rPr>
          <w:rFonts w:hint="eastAsia" w:ascii="仿宋_GB2312" w:hAnsi="黑体" w:eastAsia="仿宋_GB2312"/>
          <w:color w:val="auto"/>
          <w:sz w:val="32"/>
          <w:szCs w:val="32"/>
          <w:lang w:val="en-US" w:eastAsia="zh-CN"/>
        </w:rPr>
        <w:t>相关</w:t>
      </w:r>
      <w:r>
        <w:rPr>
          <w:rFonts w:hint="eastAsia" w:ascii="仿宋_GB2312" w:hAnsi="黑体" w:eastAsia="仿宋_GB2312"/>
          <w:color w:val="auto"/>
          <w:sz w:val="32"/>
          <w:szCs w:val="32"/>
        </w:rPr>
        <w:t>街道</w:t>
      </w:r>
      <w:r>
        <w:rPr>
          <w:rFonts w:hint="eastAsia" w:ascii="仿宋_GB2312" w:hAnsi="黑体" w:eastAsia="仿宋_GB2312"/>
          <w:color w:val="auto"/>
          <w:sz w:val="32"/>
          <w:szCs w:val="32"/>
          <w:lang w:eastAsia="zh-CN"/>
        </w:rPr>
        <w:t>办事处</w:t>
      </w:r>
      <w:r>
        <w:rPr>
          <w:rFonts w:hint="eastAsia" w:ascii="仿宋_GB2312" w:hAnsi="黑体" w:eastAsia="仿宋_GB2312"/>
          <w:color w:val="auto"/>
          <w:sz w:val="32"/>
          <w:szCs w:val="32"/>
        </w:rPr>
        <w:t>可依托农</w:t>
      </w:r>
      <w:r>
        <w:rPr>
          <w:rFonts w:hint="eastAsia" w:ascii="仿宋_GB2312" w:hAnsi="黑体" w:eastAsia="仿宋_GB2312"/>
          <w:color w:val="000000" w:themeColor="text1"/>
          <w:sz w:val="32"/>
          <w:szCs w:val="32"/>
          <w14:textFill>
            <w14:solidFill>
              <w14:schemeClr w14:val="tx1"/>
            </w14:solidFill>
          </w14:textFill>
        </w:rPr>
        <w:t>村基层组织、专业大户、家庭农场、农民合作社、农业龙头企业及新型农业经营主体，成立灌溉专业合作社、农民用水户协会；也可由新型农业经营主体自主创办水利经济合作社、农业用水服务公司。不具备以上条件的，要依托农村水利基层服务体系，健全村级用水管理组织，逐步提高管理水平。</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明晰</w:t>
      </w:r>
      <w:r>
        <w:rPr>
          <w:rFonts w:hint="eastAsia" w:ascii="仿宋_GB2312" w:hAnsi="黑体" w:eastAsia="仿宋_GB2312"/>
          <w:color w:val="000000" w:themeColor="text1"/>
          <w:sz w:val="32"/>
          <w:szCs w:val="32"/>
          <w:lang w:val="en-US" w:eastAsia="zh-CN"/>
          <w14:textFill>
            <w14:solidFill>
              <w14:schemeClr w14:val="tx1"/>
            </w14:solidFill>
          </w14:textFill>
        </w:rPr>
        <w:t>农田水利</w:t>
      </w:r>
      <w:r>
        <w:rPr>
          <w:rFonts w:hint="eastAsia" w:ascii="仿宋_GB2312" w:hAnsi="黑体" w:eastAsia="仿宋_GB2312"/>
          <w:color w:val="000000" w:themeColor="text1"/>
          <w:sz w:val="32"/>
          <w:szCs w:val="32"/>
          <w14:textFill>
            <w14:solidFill>
              <w14:schemeClr w14:val="tx1"/>
            </w14:solidFill>
          </w14:textFill>
        </w:rPr>
        <w:t>工程“三权”。按照“谁投资、谁所有、谁受益、谁负担”的原则，明晰农田水利工程的产权主体。其中，政府财政投资兴建的工程，产权归</w:t>
      </w:r>
      <w:r>
        <w:rPr>
          <w:rFonts w:hint="eastAsia" w:ascii="仿宋_GB2312" w:hAnsi="黑体" w:eastAsia="仿宋_GB2312"/>
          <w:color w:val="000000" w:themeColor="text1"/>
          <w:sz w:val="32"/>
          <w:szCs w:val="32"/>
          <w:lang w:val="en-US" w:eastAsia="zh-CN"/>
          <w14:textFill>
            <w14:solidFill>
              <w14:schemeClr w14:val="tx1"/>
            </w14:solidFill>
          </w14:textFill>
        </w:rPr>
        <w:t>区</w:t>
      </w:r>
      <w:r>
        <w:rPr>
          <w:rFonts w:hint="eastAsia" w:ascii="仿宋_GB2312" w:hAnsi="黑体" w:eastAsia="仿宋_GB2312"/>
          <w:color w:val="000000" w:themeColor="text1"/>
          <w:sz w:val="32"/>
          <w:szCs w:val="32"/>
          <w14:textFill>
            <w14:solidFill>
              <w14:schemeClr w14:val="tx1"/>
            </w14:solidFill>
          </w14:textFill>
        </w:rPr>
        <w:t>政府或其授权的部门所有；农村集体经济组织投资的工程，产权归农民集体经济组织所有；社会资本和个人投资、资助捐赠兴建的工程，产权归投资者或被捐赠者所有；多种投资形式联合兴建的工程，产权归投资者共同所有。对不能确定产权归属的，原则上划归国家或集体所有。区水务局负责对耕地范围内农田</w:t>
      </w:r>
      <w:r>
        <w:rPr>
          <w:rFonts w:hint="eastAsia" w:ascii="仿宋_GB2312" w:hAnsi="黑体" w:eastAsia="仿宋_GB2312"/>
          <w:color w:val="auto"/>
          <w:sz w:val="32"/>
          <w:szCs w:val="32"/>
        </w:rPr>
        <w:t>灌排体系骨干工程（灌区渠首工程，干支渠及其附属建筑物）</w:t>
      </w:r>
      <w:r>
        <w:rPr>
          <w:rFonts w:hint="eastAsia" w:ascii="仿宋_GB2312" w:hAnsi="黑体" w:eastAsia="仿宋_GB2312"/>
          <w:color w:val="auto"/>
          <w:sz w:val="32"/>
          <w:szCs w:val="32"/>
          <w:lang w:val="en-US" w:eastAsia="zh-CN"/>
        </w:rPr>
        <w:t>运行管护进行监督管理</w:t>
      </w:r>
      <w:r>
        <w:rPr>
          <w:rFonts w:hint="eastAsia" w:ascii="仿宋_GB2312" w:hAnsi="黑体" w:eastAsia="仿宋_GB2312"/>
          <w:color w:val="auto"/>
          <w:sz w:val="32"/>
          <w:szCs w:val="32"/>
        </w:rPr>
        <w:t>。区农业农村局负责高标准农田项目建设和管理，</w:t>
      </w:r>
      <w:r>
        <w:rPr>
          <w:rFonts w:hint="eastAsia" w:ascii="仿宋_GB2312" w:hAnsi="黑体" w:eastAsia="仿宋_GB2312"/>
          <w:color w:val="000000" w:themeColor="text1"/>
          <w:sz w:val="32"/>
          <w:szCs w:val="32"/>
          <w14:textFill>
            <w14:solidFill>
              <w14:schemeClr w14:val="tx1"/>
            </w14:solidFill>
          </w14:textFill>
        </w:rPr>
        <w:t>并对田间的农田水利工程设施进行登记造册</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健全档案，全面核定工程产权并确权到相关管护责任主体单位。</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明确管护义务。农田水利工程设施管理可采取农户自管、村委会管理、农民用水合作组织管理、水管单位管理等多种方式，鼓励小型农田水利设施实行资本化运作</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新型农民用水合作组织实行市场化和物业化经营管护。对取得小型农田水利工程设施管护权的，</w:t>
      </w:r>
      <w:r>
        <w:rPr>
          <w:rFonts w:hint="eastAsia" w:ascii="仿宋_GB2312" w:hAnsi="黑体" w:eastAsia="仿宋_GB2312"/>
          <w:color w:val="000000" w:themeColor="text1"/>
          <w:sz w:val="32"/>
          <w:szCs w:val="32"/>
          <w:lang w:val="en-US" w:eastAsia="zh-CN"/>
          <w14:textFill>
            <w14:solidFill>
              <w14:schemeClr w14:val="tx1"/>
            </w14:solidFill>
          </w14:textFill>
        </w:rPr>
        <w:t>由区政府授权部门</w:t>
      </w:r>
      <w:r>
        <w:rPr>
          <w:rFonts w:hint="eastAsia" w:ascii="仿宋_GB2312" w:hAnsi="黑体" w:eastAsia="仿宋_GB2312"/>
          <w:color w:val="000000" w:themeColor="text1"/>
          <w:sz w:val="32"/>
          <w:szCs w:val="32"/>
          <w14:textFill>
            <w14:solidFill>
              <w14:schemeClr w14:val="tx1"/>
            </w14:solidFill>
          </w14:textFill>
        </w:rPr>
        <w:t>将农田水利工程管护权移交给村集体、农民用水合作组织、新型农业经营主体以及其他基层用水组织，明确管护主体</w:t>
      </w:r>
      <w:r>
        <w:rPr>
          <w:rFonts w:hint="eastAsia" w:ascii="仿宋_GB2312" w:hAnsi="黑体" w:eastAsia="仿宋_GB2312"/>
          <w:color w:val="000000" w:themeColor="text1"/>
          <w:sz w:val="32"/>
          <w:szCs w:val="32"/>
          <w:lang w:val="en-US" w:eastAsia="zh-CN"/>
          <w14:textFill>
            <w14:solidFill>
              <w14:schemeClr w14:val="tx1"/>
            </w14:solidFill>
          </w14:textFill>
        </w:rPr>
        <w:t>并</w:t>
      </w:r>
      <w:r>
        <w:rPr>
          <w:rFonts w:hint="eastAsia" w:ascii="仿宋_GB2312" w:hAnsi="黑体" w:eastAsia="仿宋_GB2312"/>
          <w:color w:val="000000" w:themeColor="text1"/>
          <w:sz w:val="32"/>
          <w:szCs w:val="32"/>
          <w14:textFill>
            <w14:solidFill>
              <w14:schemeClr w14:val="tx1"/>
            </w14:solidFill>
          </w14:textFill>
        </w:rPr>
        <w:t>与之签订农田水利工程管护协议书，建立农田水利设施及管护工作台账，明确管护责任。因农户土地承包经营权流转或新型农业生产经营主体变更等导致农田水利工程使用主体发生变化</w:t>
      </w:r>
      <w:r>
        <w:rPr>
          <w:rFonts w:hint="eastAsia" w:ascii="仿宋_GB2312" w:hAnsi="黑体" w:eastAsia="仿宋_GB2312"/>
          <w:color w:val="000000" w:themeColor="text1"/>
          <w:sz w:val="32"/>
          <w:szCs w:val="32"/>
          <w:lang w:eastAsia="zh-CN"/>
          <w14:textFill>
            <w14:solidFill>
              <w14:schemeClr w14:val="tx1"/>
            </w14:solidFill>
          </w14:textFill>
        </w:rPr>
        <w:t>的</w:t>
      </w:r>
      <w:r>
        <w:rPr>
          <w:rFonts w:hint="eastAsia" w:ascii="仿宋_GB2312" w:hAnsi="黑体" w:eastAsia="仿宋_GB2312"/>
          <w:color w:val="000000" w:themeColor="text1"/>
          <w:sz w:val="32"/>
          <w:szCs w:val="32"/>
          <w14:textFill>
            <w14:solidFill>
              <w14:schemeClr w14:val="tx1"/>
            </w14:solidFill>
          </w14:textFill>
        </w:rPr>
        <w:t>，按相关程序办理变更事宜并签订管护协议。</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楷体_GB2312" w:hAnsi="黑体" w:eastAsia="楷体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四、工作步骤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u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实施阶段（2022年12月底前）：</w:t>
      </w:r>
      <w:r>
        <w:rPr>
          <w:rFonts w:hint="eastAsia" w:ascii="仿宋_GB2312" w:hAnsi="黑体" w:eastAsia="仿宋_GB2312"/>
          <w:color w:val="000000" w:themeColor="text1"/>
          <w:sz w:val="32"/>
          <w:szCs w:val="32"/>
          <w14:textFill>
            <w14:solidFill>
              <w14:schemeClr w14:val="tx1"/>
            </w14:solidFill>
          </w14:textFill>
        </w:rPr>
        <w:t>完成</w:t>
      </w:r>
      <w:r>
        <w:rPr>
          <w:rFonts w:hint="eastAsia" w:ascii="仿宋_GB2312" w:hAnsi="黑体" w:eastAsia="仿宋_GB2312"/>
          <w:color w:val="000000" w:themeColor="text1"/>
          <w:sz w:val="32"/>
          <w:szCs w:val="32"/>
          <w:lang w:val="en-US" w:eastAsia="zh-CN"/>
          <w14:textFill>
            <w14:solidFill>
              <w14:schemeClr w14:val="tx1"/>
            </w14:solidFill>
          </w14:textFill>
        </w:rPr>
        <w:t>农业水价综合改</w:t>
      </w:r>
      <w:r>
        <w:rPr>
          <w:rFonts w:hint="eastAsia" w:ascii="仿宋_GB2312" w:hAnsi="黑体" w:eastAsia="仿宋_GB2312"/>
          <w:color w:val="auto"/>
          <w:sz w:val="32"/>
          <w:szCs w:val="32"/>
          <w:lang w:val="en-US" w:eastAsia="zh-CN"/>
        </w:rPr>
        <w:t>革信息化平台建设</w:t>
      </w:r>
      <w:r>
        <w:rPr>
          <w:rFonts w:hint="eastAsia" w:ascii="仿宋_GB2312" w:hAnsi="黑体" w:eastAsia="仿宋_GB2312"/>
          <w:color w:val="000000" w:themeColor="text1"/>
          <w:sz w:val="32"/>
          <w:szCs w:val="32"/>
          <w:lang w:val="en-US" w:eastAsia="zh-CN"/>
          <w14:textFill>
            <w14:solidFill>
              <w14:schemeClr w14:val="tx1"/>
            </w14:solidFill>
          </w14:textFill>
        </w:rPr>
        <w:t>和计量设施安装项目</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覆盖农业有效灌溉</w:t>
      </w:r>
      <w:r>
        <w:rPr>
          <w:rFonts w:hint="eastAsia" w:ascii="仿宋_GB2312" w:hAnsi="黑体" w:eastAsia="仿宋_GB2312"/>
          <w:color w:val="000000" w:themeColor="text1"/>
          <w:sz w:val="32"/>
          <w:szCs w:val="32"/>
          <w14:textFill>
            <w14:solidFill>
              <w14:schemeClr w14:val="tx1"/>
            </w14:solidFill>
          </w14:textFill>
        </w:rPr>
        <w:t>面积2.1万亩</w:t>
      </w:r>
      <w:r>
        <w:rPr>
          <w:rFonts w:hint="eastAsia" w:ascii="仿宋_GB2312" w:hAnsi="黑体" w:eastAsia="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（二）验收阶段（2023年7月底前）：</w:t>
      </w:r>
      <w:r>
        <w:rPr>
          <w:rFonts w:hint="eastAsia" w:ascii="仿宋_GB2312" w:hAnsi="黑体" w:eastAsia="仿宋_GB2312"/>
          <w:color w:val="000000" w:themeColor="text1"/>
          <w:sz w:val="32"/>
          <w:szCs w:val="32"/>
          <w:lang w:val="en-US" w:eastAsia="zh-CN"/>
          <w14:textFill>
            <w14:solidFill>
              <w14:schemeClr w14:val="tx1"/>
            </w14:solidFill>
          </w14:textFill>
        </w:rPr>
        <w:t>编制验收材料，完成区级验收，向市农业水价综合改革领导小组提出验收申请，做好各项验收准备。</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（三）巩固阶段（2025年12月底前）：</w:t>
      </w:r>
      <w:r>
        <w:rPr>
          <w:rFonts w:hint="eastAsia" w:ascii="仿宋_GB2312" w:hAnsi="黑体" w:eastAsia="仿宋_GB2312"/>
          <w:color w:val="000000" w:themeColor="text1"/>
          <w:sz w:val="32"/>
          <w:szCs w:val="32"/>
          <w:lang w:val="en-US" w:eastAsia="zh-CN"/>
          <w14:textFill>
            <w14:solidFill>
              <w14:schemeClr w14:val="tx1"/>
            </w14:solidFill>
          </w14:textFill>
        </w:rPr>
        <w:t>通过实施农业用水节水奖励和精准补贴措施机制，</w:t>
      </w:r>
      <w:r>
        <w:rPr>
          <w:rFonts w:hint="eastAsia" w:ascii="仿宋_GB2312" w:hAnsi="黑体" w:eastAsia="仿宋_GB2312"/>
          <w:color w:val="000000" w:themeColor="text1"/>
          <w:sz w:val="32"/>
          <w:szCs w:val="32"/>
          <w14:textFill>
            <w14:solidFill>
              <w14:schemeClr w14:val="tx1"/>
            </w14:solidFill>
          </w14:textFill>
        </w:rPr>
        <w:t>农业用水价格总体达到水利工程运行维护成本水平，经济作物和特色农业发展集中</w:t>
      </w:r>
      <w:r>
        <w:rPr>
          <w:rFonts w:hint="eastAsia" w:ascii="仿宋_GB2312" w:hAnsi="黑体" w:eastAsia="仿宋_GB2312"/>
          <w:color w:val="000000" w:themeColor="text1"/>
          <w:sz w:val="32"/>
          <w:szCs w:val="32"/>
          <w:lang w:val="en-US" w:eastAsia="zh-CN"/>
          <w14:textFill>
            <w14:solidFill>
              <w14:schemeClr w14:val="tx1"/>
            </w14:solidFill>
          </w14:textFill>
        </w:rPr>
        <w:t>的</w:t>
      </w:r>
      <w:r>
        <w:rPr>
          <w:rFonts w:hint="eastAsia" w:ascii="仿宋_GB2312" w:hAnsi="黑体" w:eastAsia="仿宋_GB2312"/>
          <w:color w:val="000000" w:themeColor="text1"/>
          <w:sz w:val="32"/>
          <w:szCs w:val="32"/>
          <w14:textFill>
            <w14:solidFill>
              <w14:schemeClr w14:val="tx1"/>
            </w14:solidFill>
          </w14:textFill>
        </w:rPr>
        <w:t>区域达到完全成本水平；农村基层用水组织</w:t>
      </w:r>
      <w:r>
        <w:rPr>
          <w:rFonts w:hint="eastAsia" w:ascii="仿宋_GB2312" w:hAnsi="黑体" w:eastAsia="仿宋_GB2312"/>
          <w:color w:val="000000" w:themeColor="text1"/>
          <w:sz w:val="32"/>
          <w:szCs w:val="32"/>
          <w:lang w:val="en-US" w:eastAsia="zh-CN"/>
          <w14:textFill>
            <w14:solidFill>
              <w14:schemeClr w14:val="tx1"/>
            </w14:solidFill>
          </w14:textFill>
        </w:rPr>
        <w:t>基本完善</w:t>
      </w:r>
      <w:r>
        <w:rPr>
          <w:rFonts w:hint="eastAsia" w:ascii="仿宋_GB2312" w:hAnsi="黑体" w:eastAsia="仿宋_GB2312"/>
          <w:color w:val="000000" w:themeColor="text1"/>
          <w:sz w:val="32"/>
          <w:szCs w:val="32"/>
          <w14:textFill>
            <w14:solidFill>
              <w14:schemeClr w14:val="tx1"/>
            </w14:solidFill>
          </w14:textFill>
        </w:rPr>
        <w:t>，实施规范高效管理，实现多种管理形式并存和长效运转，农业水费计收基本到位；农业用水总量控制和定额管理普遍实行。</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、保障措施</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（一）加强组织领导。</w:t>
      </w:r>
      <w:r>
        <w:rPr>
          <w:rFonts w:hint="eastAsia" w:ascii="仿宋_GB2312" w:hAnsi="黑体" w:eastAsia="仿宋_GB2312"/>
          <w:color w:val="auto"/>
          <w:sz w:val="32"/>
          <w:szCs w:val="32"/>
          <w:lang w:eastAsia="zh-CN"/>
        </w:rPr>
        <w:t>各有关部门、街道办事处</w:t>
      </w:r>
      <w:r>
        <w:rPr>
          <w:rFonts w:hint="eastAsia" w:ascii="仿宋_GB2312" w:hAnsi="黑体" w:eastAsia="仿宋_GB2312"/>
          <w:color w:val="auto"/>
          <w:sz w:val="32"/>
          <w:szCs w:val="32"/>
        </w:rPr>
        <w:t>要高度重视农业水价综合改革工作，将其作为全面深化改革的重点任务，加强领导，完善机制，有序推进。区政府为全区农业水价综合改革的责任主体，成立</w:t>
      </w:r>
      <w:r>
        <w:rPr>
          <w:rFonts w:hint="eastAsia" w:ascii="仿宋_GB2312" w:hAnsi="黑体" w:eastAsia="仿宋_GB2312"/>
          <w:color w:val="000000" w:themeColor="text1"/>
          <w:sz w:val="32"/>
          <w:szCs w:val="32"/>
          <w14:textFill>
            <w14:solidFill>
              <w14:schemeClr w14:val="tx1"/>
            </w14:solidFill>
          </w14:textFill>
        </w:rPr>
        <w:t>由</w:t>
      </w:r>
      <w:r>
        <w:rPr>
          <w:rFonts w:hint="eastAsia" w:ascii="仿宋_GB2312" w:hAnsi="黑体" w:eastAsia="仿宋_GB2312"/>
          <w:color w:val="000000" w:themeColor="text1"/>
          <w:sz w:val="32"/>
          <w:szCs w:val="32"/>
          <w:lang w:val="en-US" w:eastAsia="zh-CN"/>
          <w14:textFill>
            <w14:solidFill>
              <w14:schemeClr w14:val="tx1"/>
            </w14:solidFill>
          </w14:textFill>
        </w:rPr>
        <w:t>分管副区长</w:t>
      </w:r>
      <w:r>
        <w:rPr>
          <w:rFonts w:hint="eastAsia" w:ascii="仿宋_GB2312" w:hAnsi="黑体" w:eastAsia="仿宋_GB2312"/>
          <w:color w:val="000000" w:themeColor="text1"/>
          <w:sz w:val="32"/>
          <w:szCs w:val="32"/>
          <w14:textFill>
            <w14:solidFill>
              <w14:schemeClr w14:val="tx1"/>
            </w14:solidFill>
          </w14:textFill>
        </w:rPr>
        <w:t>任组长，区发展改革局、</w:t>
      </w:r>
      <w:r>
        <w:rPr>
          <w:rFonts w:hint="eastAsia" w:ascii="仿宋_GB2312" w:hAnsi="黑体" w:eastAsia="仿宋_GB2312"/>
          <w:color w:val="000000" w:themeColor="text1"/>
          <w:sz w:val="32"/>
          <w:szCs w:val="32"/>
          <w:lang w:val="en-US" w:eastAsia="zh-CN"/>
          <w14:textFill>
            <w14:solidFill>
              <w14:schemeClr w14:val="tx1"/>
            </w14:solidFill>
          </w14:textFill>
        </w:rPr>
        <w:t>区</w:t>
      </w:r>
      <w:r>
        <w:rPr>
          <w:rFonts w:hint="eastAsia" w:ascii="仿宋_GB2312" w:hAnsi="黑体" w:eastAsia="仿宋_GB2312"/>
          <w:color w:val="000000" w:themeColor="text1"/>
          <w:sz w:val="32"/>
          <w:szCs w:val="32"/>
          <w14:textFill>
            <w14:solidFill>
              <w14:schemeClr w14:val="tx1"/>
            </w14:solidFill>
          </w14:textFill>
        </w:rPr>
        <w:t>财政局、</w:t>
      </w:r>
      <w:r>
        <w:rPr>
          <w:rFonts w:hint="eastAsia" w:ascii="仿宋_GB2312" w:hAnsi="黑体" w:eastAsia="仿宋_GB2312"/>
          <w:color w:val="000000" w:themeColor="text1"/>
          <w:sz w:val="32"/>
          <w:szCs w:val="32"/>
          <w:lang w:val="en-US" w:eastAsia="zh-CN"/>
          <w14:textFill>
            <w14:solidFill>
              <w14:schemeClr w14:val="tx1"/>
            </w14:solidFill>
          </w14:textFill>
        </w:rPr>
        <w:t>区</w:t>
      </w:r>
      <w:r>
        <w:rPr>
          <w:rFonts w:hint="eastAsia" w:ascii="仿宋_GB2312" w:hAnsi="黑体" w:eastAsia="仿宋_GB2312"/>
          <w:color w:val="000000" w:themeColor="text1"/>
          <w:sz w:val="32"/>
          <w:szCs w:val="32"/>
          <w14:textFill>
            <w14:solidFill>
              <w14:schemeClr w14:val="tx1"/>
            </w14:solidFill>
          </w14:textFill>
        </w:rPr>
        <w:t>水务局、</w:t>
      </w:r>
      <w:r>
        <w:rPr>
          <w:rFonts w:hint="eastAsia" w:ascii="仿宋_GB2312" w:hAnsi="黑体" w:eastAsia="仿宋_GB2312"/>
          <w:color w:val="000000" w:themeColor="text1"/>
          <w:sz w:val="32"/>
          <w:szCs w:val="32"/>
          <w:lang w:val="en-US" w:eastAsia="zh-CN"/>
          <w14:textFill>
            <w14:solidFill>
              <w14:schemeClr w14:val="tx1"/>
            </w14:solidFill>
          </w14:textFill>
        </w:rPr>
        <w:t>区</w:t>
      </w:r>
      <w:r>
        <w:rPr>
          <w:rFonts w:hint="eastAsia" w:ascii="仿宋_GB2312" w:hAnsi="黑体" w:eastAsia="仿宋_GB2312"/>
          <w:color w:val="000000" w:themeColor="text1"/>
          <w:sz w:val="32"/>
          <w:szCs w:val="32"/>
          <w14:textFill>
            <w14:solidFill>
              <w14:schemeClr w14:val="tx1"/>
            </w14:solidFill>
          </w14:textFill>
        </w:rPr>
        <w:t>农业</w:t>
      </w:r>
      <w:r>
        <w:rPr>
          <w:rFonts w:hint="eastAsia" w:ascii="仿宋_GB2312" w:hAnsi="黑体" w:eastAsia="仿宋_GB2312"/>
          <w:color w:val="000000" w:themeColor="text1"/>
          <w:sz w:val="32"/>
          <w:szCs w:val="32"/>
          <w:lang w:val="en-US" w:eastAsia="zh-CN"/>
          <w14:textFill>
            <w14:solidFill>
              <w14:schemeClr w14:val="tx1"/>
            </w14:solidFill>
          </w14:textFill>
        </w:rPr>
        <w:t>农村</w:t>
      </w:r>
      <w:r>
        <w:rPr>
          <w:rFonts w:hint="eastAsia" w:ascii="仿宋_GB2312" w:hAnsi="黑体" w:eastAsia="仿宋_GB2312"/>
          <w:color w:val="000000" w:themeColor="text1"/>
          <w:sz w:val="32"/>
          <w:szCs w:val="32"/>
          <w14:textFill>
            <w14:solidFill>
              <w14:schemeClr w14:val="tx1"/>
            </w14:solidFill>
          </w14:textFill>
        </w:rPr>
        <w:t>局</w:t>
      </w:r>
      <w:r>
        <w:rPr>
          <w:rFonts w:hint="eastAsia" w:ascii="仿宋_GB2312" w:hAnsi="黑体" w:eastAsia="仿宋_GB2312"/>
          <w:color w:val="000000" w:themeColor="text1"/>
          <w:sz w:val="32"/>
          <w:szCs w:val="32"/>
          <w:lang w:eastAsia="zh-CN"/>
          <w14:textFill>
            <w14:solidFill>
              <w14:schemeClr w14:val="tx1"/>
            </w14:solidFill>
          </w14:textFill>
        </w:rPr>
        <w:t>以及</w:t>
      </w:r>
      <w:r>
        <w:rPr>
          <w:rFonts w:hint="eastAsia" w:ascii="仿宋_GB2312" w:hAnsi="黑体" w:eastAsia="仿宋_GB2312"/>
          <w:color w:val="000000" w:themeColor="text1"/>
          <w:sz w:val="32"/>
          <w:szCs w:val="32"/>
          <w:lang w:val="en-US" w:eastAsia="zh-CN"/>
          <w14:textFill>
            <w14:solidFill>
              <w14:schemeClr w14:val="tx1"/>
            </w14:solidFill>
          </w14:textFill>
        </w:rPr>
        <w:t>相关街道办事处</w:t>
      </w:r>
      <w:r>
        <w:rPr>
          <w:rFonts w:hint="eastAsia" w:ascii="仿宋_GB2312" w:hAnsi="黑体" w:eastAsia="仿宋_GB2312"/>
          <w:color w:val="000000" w:themeColor="text1"/>
          <w:sz w:val="32"/>
          <w:szCs w:val="32"/>
          <w:lang w:eastAsia="zh-CN"/>
          <w14:textFill>
            <w14:solidFill>
              <w14:schemeClr w14:val="tx1"/>
            </w14:solidFill>
          </w14:textFill>
        </w:rPr>
        <w:t>分管</w:t>
      </w:r>
      <w:r>
        <w:rPr>
          <w:rFonts w:hint="eastAsia" w:ascii="仿宋_GB2312" w:hAnsi="黑体" w:eastAsia="仿宋_GB2312"/>
          <w:color w:val="000000" w:themeColor="text1"/>
          <w:sz w:val="32"/>
          <w:szCs w:val="32"/>
          <w:lang w:val="en-US" w:eastAsia="zh-CN"/>
          <w14:textFill>
            <w14:solidFill>
              <w14:schemeClr w14:val="tx1"/>
            </w14:solidFill>
          </w14:textFill>
        </w:rPr>
        <w:t>负责人</w:t>
      </w:r>
      <w:r>
        <w:rPr>
          <w:rFonts w:hint="eastAsia" w:ascii="仿宋_GB2312" w:hAnsi="黑体" w:eastAsia="仿宋_GB2312"/>
          <w:color w:val="000000" w:themeColor="text1"/>
          <w:sz w:val="32"/>
          <w:szCs w:val="32"/>
          <w14:textFill>
            <w14:solidFill>
              <w14:schemeClr w14:val="tx1"/>
            </w14:solidFill>
          </w14:textFill>
        </w:rPr>
        <w:t>为成员</w:t>
      </w:r>
      <w:r>
        <w:rPr>
          <w:rFonts w:hint="eastAsia" w:ascii="仿宋_GB2312" w:hAnsi="黑体" w:eastAsia="仿宋_GB2312"/>
          <w:color w:val="000000" w:themeColor="text1"/>
          <w:sz w:val="32"/>
          <w:szCs w:val="32"/>
          <w:lang w:eastAsia="zh-CN"/>
          <w14:textFill>
            <w14:solidFill>
              <w14:schemeClr w14:val="tx1"/>
            </w14:solidFill>
          </w14:textFill>
        </w:rPr>
        <w:t>的</w:t>
      </w:r>
      <w:r>
        <w:rPr>
          <w:rFonts w:hint="eastAsia" w:ascii="仿宋_GB2312" w:hAnsi="黑体" w:eastAsia="仿宋_GB2312"/>
          <w:color w:val="auto"/>
          <w:sz w:val="32"/>
          <w:szCs w:val="32"/>
        </w:rPr>
        <w:t>区</w:t>
      </w:r>
      <w:r>
        <w:rPr>
          <w:rFonts w:hint="eastAsia" w:ascii="仿宋_GB2312" w:hAnsi="黑体" w:eastAsia="仿宋_GB2312"/>
          <w:color w:val="000000" w:themeColor="text1"/>
          <w:sz w:val="32"/>
          <w:szCs w:val="32"/>
          <w14:textFill>
            <w14:solidFill>
              <w14:schemeClr w14:val="tx1"/>
            </w14:solidFill>
          </w14:textFill>
        </w:rPr>
        <w:t>农业水价综合改革工作专班，</w:t>
      </w:r>
      <w:r>
        <w:rPr>
          <w:rFonts w:hint="eastAsia" w:ascii="仿宋_GB2312" w:hAnsi="黑体" w:eastAsia="仿宋_GB2312"/>
          <w:color w:val="000000" w:themeColor="text1"/>
          <w:sz w:val="32"/>
          <w:szCs w:val="32"/>
          <w:lang w:eastAsia="zh-CN"/>
          <w14:textFill>
            <w14:solidFill>
              <w14:schemeClr w14:val="tx1"/>
            </w14:solidFill>
          </w14:textFill>
        </w:rPr>
        <w:t>负责相关工作的统筹协调和组织推进。</w:t>
      </w:r>
      <w:r>
        <w:rPr>
          <w:rFonts w:hint="eastAsia" w:ascii="仿宋_GB2312" w:hAnsi="黑体" w:eastAsia="仿宋_GB2312"/>
          <w:color w:val="000000" w:themeColor="text1"/>
          <w:sz w:val="32"/>
          <w:szCs w:val="32"/>
          <w:lang w:val="en-US" w:eastAsia="zh-CN"/>
          <w14:textFill>
            <w14:solidFill>
              <w14:schemeClr w14:val="tx1"/>
            </w14:solidFill>
          </w14:textFill>
        </w:rPr>
        <w:t>工作专班</w:t>
      </w:r>
      <w:r>
        <w:rPr>
          <w:rFonts w:hint="eastAsia" w:ascii="仿宋_GB2312" w:hAnsi="黑体" w:eastAsia="仿宋_GB2312"/>
          <w:color w:val="000000" w:themeColor="text1"/>
          <w:sz w:val="32"/>
          <w:szCs w:val="32"/>
          <w14:textFill>
            <w14:solidFill>
              <w14:schemeClr w14:val="tx1"/>
            </w14:solidFill>
          </w14:textFill>
        </w:rPr>
        <w:t>办公室设在区水务局，负责农业水价综合改革的日常管理和任务推进。</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000000" w:themeColor="text1"/>
          <w:sz w:val="32"/>
          <w:szCs w:val="32"/>
          <w:lang w:val="en-US" w:eastAsia="zh-CN"/>
          <w14:textFill>
            <w14:solidFill>
              <w14:schemeClr w14:val="tx1"/>
            </w14:solidFill>
          </w14:textFill>
        </w:rPr>
        <w:t>二</w:t>
      </w:r>
      <w:r>
        <w:rPr>
          <w:rFonts w:hint="eastAsia" w:ascii="楷体_GB2312" w:hAnsi="黑体" w:eastAsia="楷体_GB2312"/>
          <w:color w:val="000000" w:themeColor="text1"/>
          <w:sz w:val="32"/>
          <w:szCs w:val="32"/>
          <w14:textFill>
            <w14:solidFill>
              <w14:schemeClr w14:val="tx1"/>
            </w14:solidFill>
          </w14:textFill>
        </w:rPr>
        <w:t>）强化资金保障。</w:t>
      </w:r>
      <w:r>
        <w:rPr>
          <w:rFonts w:hint="eastAsia" w:ascii="仿宋_GB2312" w:hAnsi="黑体" w:eastAsia="仿宋_GB2312"/>
          <w:color w:val="000000" w:themeColor="text1"/>
          <w:sz w:val="32"/>
          <w:szCs w:val="32"/>
          <w14:textFill>
            <w14:solidFill>
              <w14:schemeClr w14:val="tx1"/>
            </w14:solidFill>
          </w14:textFill>
        </w:rPr>
        <w:t>充分发挥财政资金对农业水价综合改革的引导作用，统筹公共财政一般预算、地方水利建设基金、国有土地出让收益计提农田水利建设资金等，调整财政支农资金支出结构，不断加大对农业水价综合改革的投入力度。同时，采取“以奖代补、先建后补、民办公助、收益分成”等有效途径和方法，调动农民、新型农业经营主体的积极性，引导社会资本和自筹资金参与农田供水工程建设，不断拓宽资金来源。以工程产权界定为基础、水权有偿交易为纽带、合理投资回报为吸引，鼓励社会资本以PPP（政府与社会资本合作）等多种形式参与农业水价综合改革。</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000000" w:themeColor="text1"/>
          <w:sz w:val="32"/>
          <w:szCs w:val="32"/>
          <w:lang w:val="en-US" w:eastAsia="zh-CN"/>
          <w14:textFill>
            <w14:solidFill>
              <w14:schemeClr w14:val="tx1"/>
            </w14:solidFill>
          </w14:textFill>
        </w:rPr>
        <w:t>三</w:t>
      </w: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auto"/>
          <w:sz w:val="32"/>
          <w:szCs w:val="32"/>
          <w:lang w:eastAsia="zh-CN"/>
        </w:rPr>
        <w:t>严格监督检查</w:t>
      </w:r>
      <w:r>
        <w:rPr>
          <w:rFonts w:hint="eastAsia" w:ascii="楷体_GB2312" w:hAnsi="黑体" w:eastAsia="楷体_GB2312"/>
          <w:color w:val="auto"/>
          <w:sz w:val="32"/>
          <w:szCs w:val="32"/>
        </w:rPr>
        <w:t>。</w:t>
      </w:r>
      <w:r>
        <w:rPr>
          <w:rFonts w:hint="eastAsia" w:ascii="仿宋_GB2312" w:hAnsi="黑体" w:eastAsia="仿宋_GB2312"/>
          <w:color w:val="000000" w:themeColor="text1"/>
          <w:sz w:val="32"/>
          <w:szCs w:val="32"/>
          <w14:textFill>
            <w14:solidFill>
              <w14:schemeClr w14:val="tx1"/>
            </w14:solidFill>
          </w14:textFill>
        </w:rPr>
        <w:t>区水务局对</w:t>
      </w:r>
      <w:r>
        <w:rPr>
          <w:rFonts w:hint="eastAsia" w:ascii="仿宋_GB2312" w:hAnsi="黑体" w:eastAsia="仿宋_GB2312"/>
          <w:color w:val="auto"/>
          <w:sz w:val="32"/>
          <w:szCs w:val="32"/>
        </w:rPr>
        <w:t>各</w:t>
      </w:r>
      <w:r>
        <w:rPr>
          <w:rFonts w:hint="eastAsia" w:ascii="仿宋_GB2312" w:hAnsi="黑体" w:eastAsia="仿宋_GB2312"/>
          <w:color w:val="auto"/>
          <w:sz w:val="32"/>
          <w:szCs w:val="32"/>
          <w:lang w:eastAsia="zh-CN"/>
        </w:rPr>
        <w:t>相关部门、街道办事处</w:t>
      </w:r>
      <w:r>
        <w:rPr>
          <w:rFonts w:hint="eastAsia" w:ascii="仿宋_GB2312" w:hAnsi="黑体" w:eastAsia="仿宋_GB2312"/>
          <w:color w:val="auto"/>
          <w:sz w:val="32"/>
          <w:szCs w:val="32"/>
        </w:rPr>
        <w:t>实施农业水价综合改革的执行情况进</w:t>
      </w:r>
      <w:r>
        <w:rPr>
          <w:rFonts w:hint="eastAsia" w:ascii="仿宋_GB2312" w:hAnsi="黑体" w:eastAsia="仿宋_GB2312"/>
          <w:color w:val="000000" w:themeColor="text1"/>
          <w:sz w:val="32"/>
          <w:szCs w:val="32"/>
          <w14:textFill>
            <w14:solidFill>
              <w14:schemeClr w14:val="tx1"/>
            </w14:solidFill>
          </w14:textFill>
        </w:rPr>
        <w:t>行定期检查和技术指导，</w:t>
      </w:r>
      <w:r>
        <w:rPr>
          <w:rFonts w:hint="eastAsia" w:ascii="仿宋_GB2312" w:hAnsi="黑体" w:eastAsia="仿宋_GB2312"/>
          <w:color w:val="000000" w:themeColor="text1"/>
          <w:sz w:val="32"/>
          <w:szCs w:val="32"/>
          <w:lang w:val="en-US" w:eastAsia="zh-CN"/>
          <w14:textFill>
            <w14:solidFill>
              <w14:schemeClr w14:val="tx1"/>
            </w14:solidFill>
          </w14:textFill>
        </w:rPr>
        <w:t>建立改革进度报告、通报和约谈、整改等制度</w:t>
      </w:r>
      <w:r>
        <w:rPr>
          <w:rFonts w:hint="eastAsia" w:ascii="仿宋_GB2312" w:hAnsi="黑体" w:eastAsia="仿宋_GB2312"/>
          <w:color w:val="000000" w:themeColor="text1"/>
          <w:sz w:val="32"/>
          <w:szCs w:val="32"/>
          <w:lang w:eastAsia="zh-CN"/>
          <w14:textFill>
            <w14:solidFill>
              <w14:schemeClr w14:val="tx1"/>
            </w14:solidFill>
          </w14:textFill>
        </w:rPr>
        <w:t>，并</w:t>
      </w:r>
      <w:r>
        <w:rPr>
          <w:rFonts w:hint="eastAsia" w:ascii="仿宋_GB2312" w:hAnsi="黑体" w:eastAsia="仿宋_GB2312"/>
          <w:color w:val="000000" w:themeColor="text1"/>
          <w:sz w:val="32"/>
          <w:szCs w:val="32"/>
          <w14:textFill>
            <w14:solidFill>
              <w14:schemeClr w14:val="tx1"/>
            </w14:solidFill>
          </w14:textFill>
        </w:rPr>
        <w:t>定期向区政府、上级水行政主管部门汇报全区农业水价综合改革进展情况。</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000000" w:themeColor="text1"/>
          <w:sz w:val="32"/>
          <w:szCs w:val="32"/>
          <w:lang w:val="en-US" w:eastAsia="zh-CN"/>
          <w14:textFill>
            <w14:solidFill>
              <w14:schemeClr w14:val="tx1"/>
            </w14:solidFill>
          </w14:textFill>
        </w:rPr>
        <w:t>四</w:t>
      </w:r>
      <w:r>
        <w:rPr>
          <w:rFonts w:hint="eastAsia" w:ascii="楷体_GB2312" w:hAnsi="黑体" w:eastAsia="楷体_GB2312"/>
          <w:color w:val="000000" w:themeColor="text1"/>
          <w:sz w:val="32"/>
          <w:szCs w:val="32"/>
          <w14:textFill>
            <w14:solidFill>
              <w14:schemeClr w14:val="tx1"/>
            </w14:solidFill>
          </w14:textFill>
        </w:rPr>
        <w:t>）</w:t>
      </w:r>
      <w:r>
        <w:rPr>
          <w:rFonts w:hint="eastAsia" w:ascii="楷体_GB2312" w:hAnsi="黑体" w:eastAsia="楷体_GB2312"/>
          <w:color w:val="000000" w:themeColor="text1"/>
          <w:sz w:val="32"/>
          <w:szCs w:val="32"/>
          <w:lang w:eastAsia="zh-CN"/>
          <w14:textFill>
            <w14:solidFill>
              <w14:schemeClr w14:val="tx1"/>
            </w14:solidFill>
          </w14:textFill>
        </w:rPr>
        <w:t>加大</w:t>
      </w:r>
      <w:r>
        <w:rPr>
          <w:rFonts w:hint="eastAsia" w:ascii="楷体_GB2312" w:hAnsi="黑体" w:eastAsia="楷体_GB2312"/>
          <w:color w:val="000000" w:themeColor="text1"/>
          <w:sz w:val="32"/>
          <w:szCs w:val="32"/>
          <w14:textFill>
            <w14:solidFill>
              <w14:schemeClr w14:val="tx1"/>
            </w14:solidFill>
          </w14:textFill>
        </w:rPr>
        <w:t>宣传</w:t>
      </w:r>
      <w:r>
        <w:rPr>
          <w:rFonts w:hint="eastAsia" w:ascii="楷体_GB2312" w:hAnsi="黑体" w:eastAsia="楷体_GB2312"/>
          <w:color w:val="000000" w:themeColor="text1"/>
          <w:sz w:val="32"/>
          <w:szCs w:val="32"/>
          <w:lang w:eastAsia="zh-CN"/>
          <w14:textFill>
            <w14:solidFill>
              <w14:schemeClr w14:val="tx1"/>
            </w14:solidFill>
          </w14:textFill>
        </w:rPr>
        <w:t>力度</w:t>
      </w:r>
      <w:r>
        <w:rPr>
          <w:rFonts w:hint="eastAsia" w:ascii="楷体_GB2312" w:hAnsi="黑体" w:eastAsia="楷体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围绕推进农业水价综合改革要求，定期开展现场会或业务培训，做好政策解读、横向交流等工作，总结推广先进典型，确保各项政策落实不走样、见实效。要</w:t>
      </w:r>
      <w:r>
        <w:rPr>
          <w:rFonts w:hint="eastAsia" w:ascii="仿宋_GB2312" w:hAnsi="黑体" w:eastAsia="仿宋_GB2312"/>
          <w:color w:val="000000" w:themeColor="text1"/>
          <w:sz w:val="32"/>
          <w:szCs w:val="32"/>
          <w:lang w:eastAsia="zh-CN"/>
          <w14:textFill>
            <w14:solidFill>
              <w14:schemeClr w14:val="tx1"/>
            </w14:solidFill>
          </w14:textFill>
        </w:rPr>
        <w:t>充分</w:t>
      </w:r>
      <w:r>
        <w:rPr>
          <w:rFonts w:hint="eastAsia" w:ascii="仿宋_GB2312" w:hAnsi="黑体" w:eastAsia="仿宋_GB2312"/>
          <w:color w:val="000000" w:themeColor="text1"/>
          <w:sz w:val="32"/>
          <w:szCs w:val="32"/>
          <w14:textFill>
            <w14:solidFill>
              <w14:schemeClr w14:val="tx1"/>
            </w14:solidFill>
          </w14:textFill>
        </w:rPr>
        <w:t>发挥媒体的作用，强化水情教育，增强广大农民有偿用水、节约用水意识和节水自觉性，积极营造有利于加快完善农业水价形成机制、深化农业水价综合改革的良好舆论氛围</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本方案自2022年12月31日起施行，有效期至2025年12月31日。</w:t>
      </w:r>
    </w:p>
    <w:p>
      <w:pPr>
        <w:keepNext w:val="0"/>
        <w:keepLines w:val="0"/>
        <w:pageBreakBefore w:val="0"/>
        <w:kinsoku/>
        <w:wordWrap/>
        <w:overflowPunct/>
        <w:topLinePunct w:val="0"/>
        <w:autoSpaceDE/>
        <w:autoSpaceDN/>
        <w:bidi w:val="0"/>
        <w:adjustRightInd/>
        <w:spacing w:line="580" w:lineRule="exact"/>
        <w:jc w:val="both"/>
        <w:textAlignment w:val="auto"/>
        <w:rPr>
          <w:rFonts w:ascii="仿宋_GB2312" w:hAnsi="黑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80" w:lineRule="exact"/>
        <w:ind w:leftChars="0" w:firstLine="640" w:firstLineChars="2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附件：1</w:t>
      </w:r>
      <w:r>
        <w:rPr>
          <w:rFonts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济南市</w:t>
      </w:r>
      <w:r>
        <w:rPr>
          <w:rFonts w:hint="eastAsia" w:ascii="仿宋_GB2312" w:hAnsi="黑体" w:eastAsia="仿宋_GB2312"/>
          <w:color w:val="000000" w:themeColor="text1"/>
          <w:sz w:val="32"/>
          <w:szCs w:val="32"/>
          <w14:textFill>
            <w14:solidFill>
              <w14:schemeClr w14:val="tx1"/>
            </w14:solidFill>
          </w14:textFill>
        </w:rPr>
        <w:t>市中区农业水价综合改革区情况表</w:t>
      </w:r>
    </w:p>
    <w:p>
      <w:pPr>
        <w:keepNext w:val="0"/>
        <w:keepLines w:val="0"/>
        <w:pageBreakBefore w:val="0"/>
        <w:numPr>
          <w:ilvl w:val="0"/>
          <w:numId w:val="0"/>
        </w:numPr>
        <w:kinsoku/>
        <w:wordWrap/>
        <w:overflowPunct/>
        <w:topLinePunct w:val="0"/>
        <w:autoSpaceDE/>
        <w:autoSpaceDN/>
        <w:bidi w:val="0"/>
        <w:adjustRightInd/>
        <w:spacing w:line="580" w:lineRule="exact"/>
        <w:ind w:firstLine="1600" w:firstLineChars="500"/>
        <w:jc w:val="both"/>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济南市市中区农业水价综合改革工作专班</w:t>
      </w:r>
    </w:p>
    <w:p>
      <w:pPr>
        <w:keepNext w:val="0"/>
        <w:keepLines w:val="0"/>
        <w:pageBreakBefore w:val="0"/>
        <w:numPr>
          <w:ilvl w:val="0"/>
          <w:numId w:val="0"/>
        </w:numPr>
        <w:kinsoku/>
        <w:wordWrap/>
        <w:overflowPunct/>
        <w:topLinePunct w:val="0"/>
        <w:autoSpaceDE/>
        <w:autoSpaceDN/>
        <w:bidi w:val="0"/>
        <w:adjustRightInd/>
        <w:spacing w:line="580" w:lineRule="exact"/>
        <w:ind w:firstLine="1600" w:firstLineChars="500"/>
        <w:jc w:val="both"/>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济南市市中区农业水价综合改革</w:t>
      </w:r>
      <w:r>
        <w:rPr>
          <w:rFonts w:hint="eastAsia" w:ascii="仿宋_GB2312" w:hAnsi="黑体" w:eastAsia="仿宋_GB2312"/>
          <w:color w:val="000000" w:themeColor="text1"/>
          <w:sz w:val="32"/>
          <w:szCs w:val="32"/>
          <w:lang w:val="en-US" w:eastAsia="zh-CN"/>
          <w14:textFill>
            <w14:solidFill>
              <w14:schemeClr w14:val="tx1"/>
            </w14:solidFill>
          </w14:textFill>
        </w:rPr>
        <w:t>部门责任分工</w:t>
      </w:r>
    </w:p>
    <w:p>
      <w:pPr>
        <w:rPr>
          <w:rFonts w:hint="default" w:eastAsiaTheme="minorEastAsia"/>
          <w:lang w:val="en-US" w:eastAsia="zh-CN"/>
        </w:rPr>
      </w:pPr>
      <w:r>
        <w:rPr>
          <w:rFonts w:hint="default" w:eastAsiaTheme="minorEastAsia"/>
          <w:lang w:val="en-US" w:eastAsia="zh-CN"/>
        </w:rPr>
        <w:br w:type="page"/>
      </w: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附件1</w:t>
      </w:r>
    </w:p>
    <w:p>
      <w:pPr>
        <w:pStyle w:val="2"/>
        <w:keepNext w:val="0"/>
        <w:keepLines w:val="0"/>
        <w:pageBreakBefore w:val="0"/>
        <w:widowControl w:val="0"/>
        <w:kinsoku/>
        <w:wordWrap/>
        <w:overflowPunct/>
        <w:topLinePunct w:val="0"/>
        <w:autoSpaceDE/>
        <w:autoSpaceDN/>
        <w:bidi w:val="0"/>
        <w:adjustRightInd/>
        <w:snapToGrid/>
        <w:spacing w:before="0" w:after="0" w:afterAutospacing="0" w:line="580" w:lineRule="exact"/>
        <w:textAlignment w:val="auto"/>
      </w:pP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济南市</w:t>
      </w:r>
      <w:r>
        <w:rPr>
          <w:rFonts w:hint="eastAsia" w:ascii="方正小标宋简体" w:hAnsi="Times New Roman" w:eastAsia="方正小标宋简体" w:cs="Times New Roman"/>
          <w:color w:val="000000" w:themeColor="text1"/>
          <w:sz w:val="44"/>
          <w:szCs w:val="44"/>
          <w14:textFill>
            <w14:solidFill>
              <w14:schemeClr w14:val="tx1"/>
            </w14:solidFill>
          </w14:textFill>
        </w:rPr>
        <w:t>市中区农业水价综合改革区情况表</w:t>
      </w:r>
    </w:p>
    <w:p>
      <w:pPr>
        <w:pStyle w:val="2"/>
        <w:keepNext w:val="0"/>
        <w:keepLines w:val="0"/>
        <w:pageBreakBefore w:val="0"/>
        <w:widowControl w:val="0"/>
        <w:kinsoku/>
        <w:wordWrap/>
        <w:overflowPunct/>
        <w:topLinePunct w:val="0"/>
        <w:autoSpaceDE/>
        <w:autoSpaceDN/>
        <w:bidi w:val="0"/>
        <w:adjustRightInd/>
        <w:snapToGrid/>
        <w:spacing w:afterAutospacing="0" w:line="580" w:lineRule="exact"/>
        <w:textAlignment w:val="auto"/>
      </w:pPr>
    </w:p>
    <w:tbl>
      <w:tblPr>
        <w:tblStyle w:val="7"/>
        <w:tblW w:w="9300" w:type="dxa"/>
        <w:tblInd w:w="-169" w:type="dxa"/>
        <w:tblLayout w:type="fixed"/>
        <w:tblCellMar>
          <w:top w:w="0" w:type="dxa"/>
          <w:left w:w="108" w:type="dxa"/>
          <w:bottom w:w="0" w:type="dxa"/>
          <w:right w:w="108" w:type="dxa"/>
        </w:tblCellMar>
      </w:tblPr>
      <w:tblGrid>
        <w:gridCol w:w="1005"/>
        <w:gridCol w:w="3180"/>
        <w:gridCol w:w="1995"/>
        <w:gridCol w:w="3120"/>
      </w:tblGrid>
      <w:tr>
        <w:tblPrEx>
          <w:tblCellMar>
            <w:top w:w="0" w:type="dxa"/>
            <w:left w:w="108" w:type="dxa"/>
            <w:bottom w:w="0" w:type="dxa"/>
            <w:right w:w="108" w:type="dxa"/>
          </w:tblCellMar>
        </w:tblPrEx>
        <w:trPr>
          <w:trHeight w:val="638" w:hRule="exact"/>
          <w:tblHead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序号</w:t>
            </w:r>
          </w:p>
        </w:tc>
        <w:tc>
          <w:tcPr>
            <w:tcW w:w="3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涉及街</w:t>
            </w:r>
            <w:r>
              <w:rPr>
                <w:rFonts w:hint="eastAsia" w:ascii="黑体" w:hAnsi="黑体" w:eastAsia="黑体" w:cs="黑体"/>
                <w:color w:val="000000" w:themeColor="text1"/>
                <w:kern w:val="0"/>
                <w:sz w:val="32"/>
                <w:szCs w:val="32"/>
                <w:lang w:eastAsia="zh-CN" w:bidi="ar"/>
                <w14:textFill>
                  <w14:solidFill>
                    <w14:schemeClr w14:val="tx1"/>
                  </w14:solidFill>
                </w14:textFill>
              </w:rPr>
              <w:t>道办事处</w:t>
            </w:r>
          </w:p>
        </w:tc>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涉及村庄</w:t>
            </w:r>
          </w:p>
        </w:tc>
        <w:tc>
          <w:tcPr>
            <w:tcW w:w="3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有效灌溉面积（亩）</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w:t>
            </w:r>
          </w:p>
        </w:tc>
        <w:tc>
          <w:tcPr>
            <w:tcW w:w="31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党家</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党东村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560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东渴马村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相家村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寨而头村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刘家林村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张家庄村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120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土屋村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590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8</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西西村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350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罗而村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1100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西东村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390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11</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宅科村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533</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12</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小屯村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88</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13</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党西村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14</w:t>
            </w: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催马村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1100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1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小计</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7431</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w:t>
            </w:r>
          </w:p>
        </w:tc>
        <w:tc>
          <w:tcPr>
            <w:tcW w:w="3180" w:type="dxa"/>
            <w:vMerge w:val="restart"/>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陡沟</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新平村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280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w:t>
            </w:r>
          </w:p>
        </w:tc>
        <w:tc>
          <w:tcPr>
            <w:tcW w:w="3180" w:type="dxa"/>
            <w:vMerge w:val="continue"/>
            <w:tcBorders>
              <w:top w:val="nil"/>
              <w:left w:val="single" w:color="000000" w:sz="4" w:space="0"/>
              <w:bottom w:val="nil"/>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红卫村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w:t>
            </w:r>
          </w:p>
        </w:tc>
        <w:tc>
          <w:tcPr>
            <w:tcW w:w="3180" w:type="dxa"/>
            <w:vMerge w:val="continue"/>
            <w:tcBorders>
              <w:top w:val="nil"/>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鸡耳屯村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w:t>
            </w:r>
          </w:p>
        </w:tc>
        <w:tc>
          <w:tcPr>
            <w:tcW w:w="3180"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陡沟</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东风村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97</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杨台村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大庙屯村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北桥村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140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8</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岳</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而</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450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小庄村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126</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陡沟村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350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11</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袁庄村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12</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双庙屯村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928</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13</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仁里村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112</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14</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马家庄村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800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15</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郑庄村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1000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16</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董庄村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17</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红星村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18</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赵庄村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970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19</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立新村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黄山店村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776</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21</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殷家林村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1300</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22</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杜家庙村</w:t>
            </w:r>
          </w:p>
        </w:tc>
        <w:tc>
          <w:tcPr>
            <w:tcW w:w="312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2052</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23</w:t>
            </w:r>
          </w:p>
        </w:tc>
        <w:tc>
          <w:tcPr>
            <w:tcW w:w="318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丰齐村</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790</w:t>
            </w:r>
          </w:p>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3180"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小计</w:t>
            </w: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14061</w:t>
            </w:r>
          </w:p>
        </w:tc>
      </w:tr>
      <w:tr>
        <w:tblPrEx>
          <w:tblCellMar>
            <w:top w:w="0" w:type="dxa"/>
            <w:left w:w="108" w:type="dxa"/>
            <w:bottom w:w="0" w:type="dxa"/>
            <w:right w:w="108" w:type="dxa"/>
          </w:tblCellMar>
        </w:tblPrEx>
        <w:trPr>
          <w:trHeight w:val="533" w:hRule="exac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合计</w:t>
            </w:r>
          </w:p>
        </w:tc>
        <w:tc>
          <w:tcPr>
            <w:tcW w:w="318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21492</w:t>
            </w:r>
          </w:p>
        </w:tc>
      </w:tr>
    </w:tbl>
    <w:p>
      <w:pPr>
        <w:spacing w:line="58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580" w:lineRule="exact"/>
        <w:ind w:firstLine="640" w:firstLineChars="200"/>
        <w:rPr>
          <w:rFonts w:ascii="仿宋_GB2312" w:hAnsi="黑体" w:eastAsia="仿宋_GB2312"/>
          <w:color w:val="000000" w:themeColor="text1"/>
          <w:sz w:val="32"/>
          <w:szCs w:val="32"/>
          <w14:textFill>
            <w14:solidFill>
              <w14:schemeClr w14:val="tx1"/>
            </w14:solidFill>
          </w14:textFill>
        </w:rPr>
      </w:pPr>
    </w:p>
    <w:p>
      <w:pPr>
        <w:spacing w:line="58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济南市市中区农业水价综合改革工作专班</w:t>
      </w:r>
    </w:p>
    <w:p>
      <w:pPr>
        <w:spacing w:line="580" w:lineRule="exact"/>
        <w:ind w:firstLine="640" w:firstLineChars="200"/>
        <w:rPr>
          <w:rFonts w:ascii="仿宋_GB2312" w:hAnsi="黑体" w:eastAsia="仿宋_GB2312"/>
          <w:color w:val="000000" w:themeColor="text1"/>
          <w:sz w:val="32"/>
          <w:szCs w:val="32"/>
          <w14:textFill>
            <w14:solidFill>
              <w14:schemeClr w14:val="tx1"/>
            </w14:solidFill>
          </w14:textFill>
        </w:rPr>
      </w:pPr>
    </w:p>
    <w:p>
      <w:pPr>
        <w:spacing w:line="58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组  长：</w:t>
      </w:r>
      <w:r>
        <w:rPr>
          <w:rFonts w:hint="eastAsia" w:ascii="仿宋_GB2312" w:hAnsi="黑体" w:eastAsia="仿宋_GB2312"/>
          <w:color w:val="000000" w:themeColor="text1"/>
          <w:sz w:val="32"/>
          <w:szCs w:val="32"/>
          <w14:textFill>
            <w14:solidFill>
              <w14:schemeClr w14:val="tx1"/>
            </w14:solidFill>
          </w14:textFill>
        </w:rPr>
        <w:t>周  晨   副区长</w:t>
      </w:r>
    </w:p>
    <w:p>
      <w:pPr>
        <w:spacing w:line="580" w:lineRule="exact"/>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副组长：</w:t>
      </w:r>
      <w:r>
        <w:rPr>
          <w:rFonts w:hint="eastAsia" w:ascii="仿宋_GB2312" w:hAnsi="黑体" w:eastAsia="仿宋_GB2312"/>
          <w:color w:val="000000" w:themeColor="text1"/>
          <w:sz w:val="32"/>
          <w:szCs w:val="32"/>
          <w:lang w:val="en-US" w:eastAsia="zh-CN"/>
          <w14:textFill>
            <w14:solidFill>
              <w14:schemeClr w14:val="tx1"/>
            </w14:solidFill>
          </w14:textFill>
        </w:rPr>
        <w:t>索俊利</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黑体" w:eastAsia="仿宋_GB2312"/>
          <w:color w:val="000000" w:themeColor="text1"/>
          <w:sz w:val="32"/>
          <w:szCs w:val="32"/>
          <w:lang w:val="en-US" w:eastAsia="zh-CN"/>
          <w14:textFill>
            <w14:solidFill>
              <w14:schemeClr w14:val="tx1"/>
            </w14:solidFill>
          </w14:textFill>
        </w:rPr>
        <w:t>区水务局副局长（正处级）</w:t>
      </w:r>
    </w:p>
    <w:p>
      <w:pPr>
        <w:spacing w:line="58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成  员：</w:t>
      </w:r>
      <w:r>
        <w:rPr>
          <w:rFonts w:hint="eastAsia" w:ascii="仿宋_GB2312" w:hAnsi="黑体" w:eastAsia="仿宋_GB2312"/>
          <w:color w:val="000000" w:themeColor="text1"/>
          <w:sz w:val="32"/>
          <w:szCs w:val="32"/>
          <w:lang w:val="en-US" w:eastAsia="zh-CN"/>
          <w14:textFill>
            <w14:solidFill>
              <w14:schemeClr w14:val="tx1"/>
            </w14:solidFill>
          </w14:textFill>
        </w:rPr>
        <w:t>吕燕军</w:t>
      </w:r>
      <w:r>
        <w:rPr>
          <w:rFonts w:hint="eastAsia" w:ascii="仿宋_GB2312" w:hAnsi="黑体" w:eastAsia="仿宋_GB2312"/>
          <w:color w:val="000000" w:themeColor="text1"/>
          <w:sz w:val="32"/>
          <w:szCs w:val="32"/>
          <w14:textFill>
            <w14:solidFill>
              <w14:schemeClr w14:val="tx1"/>
            </w14:solidFill>
          </w14:textFill>
        </w:rPr>
        <w:t xml:space="preserve">   区发展改革局</w:t>
      </w:r>
      <w:r>
        <w:rPr>
          <w:rFonts w:hint="eastAsia" w:ascii="仿宋_GB2312" w:hAnsi="黑体" w:eastAsia="仿宋_GB2312"/>
          <w:color w:val="000000" w:themeColor="text1"/>
          <w:sz w:val="32"/>
          <w:szCs w:val="32"/>
          <w:lang w:eastAsia="zh-CN"/>
          <w14:textFill>
            <w14:solidFill>
              <w14:schemeClr w14:val="tx1"/>
            </w14:solidFill>
          </w14:textFill>
        </w:rPr>
        <w:t>二级调研员</w:t>
      </w:r>
    </w:p>
    <w:p>
      <w:pPr>
        <w:spacing w:line="580" w:lineRule="exact"/>
        <w:ind w:firstLine="1920" w:firstLineChars="6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张百忠</w:t>
      </w:r>
      <w:r>
        <w:rPr>
          <w:rFonts w:hint="eastAsia" w:ascii="仿宋_GB2312" w:hAnsi="黑体" w:eastAsia="仿宋_GB2312"/>
          <w:color w:val="000000" w:themeColor="text1"/>
          <w:sz w:val="32"/>
          <w:szCs w:val="32"/>
          <w14:textFill>
            <w14:solidFill>
              <w14:schemeClr w14:val="tx1"/>
            </w14:solidFill>
          </w14:textFill>
        </w:rPr>
        <w:t xml:space="preserve">   区财政局</w:t>
      </w:r>
      <w:r>
        <w:rPr>
          <w:rFonts w:hint="eastAsia" w:ascii="仿宋_GB2312" w:hAnsi="黑体" w:eastAsia="仿宋_GB2312"/>
          <w:color w:val="000000" w:themeColor="text1"/>
          <w:sz w:val="32"/>
          <w:szCs w:val="32"/>
          <w:lang w:val="en-US" w:eastAsia="zh-CN"/>
          <w14:textFill>
            <w14:solidFill>
              <w14:schemeClr w14:val="tx1"/>
            </w14:solidFill>
          </w14:textFill>
        </w:rPr>
        <w:t>副</w:t>
      </w:r>
      <w:r>
        <w:rPr>
          <w:rFonts w:hint="eastAsia" w:ascii="仿宋_GB2312" w:hAnsi="黑体" w:eastAsia="仿宋_GB2312"/>
          <w:color w:val="000000" w:themeColor="text1"/>
          <w:sz w:val="32"/>
          <w:szCs w:val="32"/>
          <w14:textFill>
            <w14:solidFill>
              <w14:schemeClr w14:val="tx1"/>
            </w14:solidFill>
          </w14:textFill>
        </w:rPr>
        <w:t>局长</w:t>
      </w:r>
    </w:p>
    <w:p>
      <w:pPr>
        <w:spacing w:line="580" w:lineRule="exact"/>
        <w:ind w:firstLine="1920" w:firstLineChars="6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王学山</w:t>
      </w:r>
      <w:r>
        <w:rPr>
          <w:rFonts w:hint="eastAsia" w:ascii="仿宋_GB2312" w:hAnsi="黑体" w:eastAsia="仿宋_GB2312"/>
          <w:color w:val="000000" w:themeColor="text1"/>
          <w:sz w:val="32"/>
          <w:szCs w:val="32"/>
          <w14:textFill>
            <w14:solidFill>
              <w14:schemeClr w14:val="tx1"/>
            </w14:solidFill>
          </w14:textFill>
        </w:rPr>
        <w:t xml:space="preserve">   区水务局</w:t>
      </w:r>
      <w:r>
        <w:rPr>
          <w:rFonts w:hint="eastAsia" w:ascii="仿宋_GB2312" w:hAnsi="黑体" w:eastAsia="仿宋_GB2312"/>
          <w:color w:val="000000" w:themeColor="text1"/>
          <w:sz w:val="32"/>
          <w:szCs w:val="32"/>
          <w:lang w:val="en-US" w:eastAsia="zh-CN"/>
          <w14:textFill>
            <w14:solidFill>
              <w14:schemeClr w14:val="tx1"/>
            </w14:solidFill>
          </w14:textFill>
        </w:rPr>
        <w:t>副</w:t>
      </w:r>
      <w:r>
        <w:rPr>
          <w:rFonts w:hint="eastAsia" w:ascii="仿宋_GB2312" w:hAnsi="黑体" w:eastAsia="仿宋_GB2312"/>
          <w:color w:val="000000" w:themeColor="text1"/>
          <w:sz w:val="32"/>
          <w:szCs w:val="32"/>
          <w14:textFill>
            <w14:solidFill>
              <w14:schemeClr w14:val="tx1"/>
            </w14:solidFill>
          </w14:textFill>
        </w:rPr>
        <w:t>局长</w:t>
      </w:r>
    </w:p>
    <w:p>
      <w:pPr>
        <w:spacing w:line="580" w:lineRule="exact"/>
        <w:ind w:firstLine="1920" w:firstLineChars="6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张树明</w:t>
      </w:r>
      <w:r>
        <w:rPr>
          <w:rFonts w:hint="eastAsia" w:ascii="仿宋_GB2312" w:hAnsi="黑体" w:eastAsia="仿宋_GB2312"/>
          <w:color w:val="000000" w:themeColor="text1"/>
          <w:sz w:val="32"/>
          <w:szCs w:val="32"/>
          <w14:textFill>
            <w14:solidFill>
              <w14:schemeClr w14:val="tx1"/>
            </w14:solidFill>
          </w14:textFill>
        </w:rPr>
        <w:t xml:space="preserve">   区农业农村综合服务中心副主任</w:t>
      </w:r>
    </w:p>
    <w:p>
      <w:pPr>
        <w:spacing w:line="580" w:lineRule="exact"/>
        <w:ind w:firstLine="1920" w:firstLineChars="6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肖延真</w:t>
      </w:r>
      <w:r>
        <w:rPr>
          <w:rFonts w:hint="eastAsia" w:ascii="仿宋_GB2312" w:hAnsi="黑体" w:eastAsia="仿宋_GB2312"/>
          <w:color w:val="000000" w:themeColor="text1"/>
          <w:sz w:val="32"/>
          <w:szCs w:val="32"/>
          <w14:textFill>
            <w14:solidFill>
              <w14:schemeClr w14:val="tx1"/>
            </w14:solidFill>
          </w14:textFill>
        </w:rPr>
        <w:t xml:space="preserve">  </w:t>
      </w:r>
      <w:r>
        <w:rPr>
          <w:rFonts w:ascii="仿宋_GB2312" w:hAnsi="黑体" w:eastAsia="仿宋_GB2312"/>
          <w:color w:val="000000" w:themeColor="text1"/>
          <w:sz w:val="32"/>
          <w:szCs w:val="32"/>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党家街道办事处</w:t>
      </w:r>
      <w:r>
        <w:rPr>
          <w:rFonts w:hint="eastAsia" w:ascii="仿宋_GB2312" w:hAnsi="黑体" w:eastAsia="仿宋_GB2312"/>
          <w:color w:val="000000" w:themeColor="text1"/>
          <w:sz w:val="32"/>
          <w:szCs w:val="32"/>
          <w:lang w:val="en-US" w:eastAsia="zh-CN"/>
          <w14:textFill>
            <w14:solidFill>
              <w14:schemeClr w14:val="tx1"/>
            </w14:solidFill>
          </w14:textFill>
        </w:rPr>
        <w:t>副</w:t>
      </w:r>
      <w:r>
        <w:rPr>
          <w:rFonts w:hint="eastAsia" w:ascii="仿宋_GB2312" w:hAnsi="黑体" w:eastAsia="仿宋_GB2312"/>
          <w:color w:val="000000" w:themeColor="text1"/>
          <w:sz w:val="32"/>
          <w:szCs w:val="32"/>
          <w14:textFill>
            <w14:solidFill>
              <w14:schemeClr w14:val="tx1"/>
            </w14:solidFill>
          </w14:textFill>
        </w:rPr>
        <w:t>主任</w:t>
      </w:r>
    </w:p>
    <w:p>
      <w:pPr>
        <w:spacing w:line="580" w:lineRule="exact"/>
        <w:ind w:firstLine="1920" w:firstLineChars="6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张国良</w:t>
      </w:r>
      <w:r>
        <w:rPr>
          <w:rFonts w:hint="eastAsia" w:ascii="仿宋_GB2312" w:hAnsi="黑体" w:eastAsia="仿宋_GB2312"/>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陡沟街道</w:t>
      </w:r>
      <w:r>
        <w:rPr>
          <w:rFonts w:hint="eastAsia" w:ascii="仿宋_GB2312" w:hAnsi="黑体" w:eastAsia="仿宋_GB2312" w:cs="仿宋_GB2312"/>
          <w:sz w:val="32"/>
          <w:szCs w:val="32"/>
          <w:lang w:eastAsia="zh-CN"/>
        </w:rPr>
        <w:t>便民服务中心主任</w:t>
      </w:r>
    </w:p>
    <w:p>
      <w:pPr>
        <w:spacing w:line="580" w:lineRule="exact"/>
        <w:ind w:firstLine="640" w:firstLineChars="200"/>
        <w:rPr>
          <w:rFonts w:ascii="方正小标宋简体" w:hAnsi="黑体" w:eastAsia="方正小标宋简体"/>
          <w:color w:val="000000" w:themeColor="text1"/>
          <w:sz w:val="44"/>
          <w:szCs w:val="44"/>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工作专班办公室设在区水务局，</w:t>
      </w:r>
      <w:r>
        <w:rPr>
          <w:rFonts w:hint="eastAsia" w:ascii="仿宋_GB2312" w:hAnsi="黑体" w:eastAsia="仿宋_GB2312"/>
          <w:color w:val="000000" w:themeColor="text1"/>
          <w:sz w:val="32"/>
          <w:szCs w:val="32"/>
          <w:lang w:val="en-US" w:eastAsia="zh-CN"/>
          <w14:textFill>
            <w14:solidFill>
              <w14:schemeClr w14:val="tx1"/>
            </w14:solidFill>
          </w14:textFill>
        </w:rPr>
        <w:t>王学山同志</w:t>
      </w:r>
      <w:r>
        <w:rPr>
          <w:rFonts w:hint="eastAsia" w:ascii="仿宋_GB2312" w:hAnsi="黑体" w:eastAsia="仿宋_GB2312"/>
          <w:color w:val="000000" w:themeColor="text1"/>
          <w:sz w:val="32"/>
          <w:szCs w:val="32"/>
          <w14:textFill>
            <w14:solidFill>
              <w14:schemeClr w14:val="tx1"/>
            </w14:solidFill>
          </w14:textFill>
        </w:rPr>
        <w:t>兼任办公室主任，负责办公室日常工作。工作专班成员职务如有变动，由该成员单位的接任领导自然替补。该项工作结束后，工作专班自行撤销。</w:t>
      </w:r>
    </w:p>
    <w:p>
      <w:pPr>
        <w:spacing w:line="360" w:lineRule="auto"/>
        <w:ind w:firstLine="640" w:firstLineChars="200"/>
        <w:rPr>
          <w:rFonts w:ascii="仿宋_GB2312" w:hAnsi="仿宋" w:eastAsia="仿宋_GB2312"/>
          <w:color w:val="000000" w:themeColor="text1"/>
          <w:sz w:val="32"/>
          <w:szCs w:val="36"/>
          <w14:textFill>
            <w14:solidFill>
              <w14:schemeClr w14:val="tx1"/>
            </w14:solidFill>
          </w14:textFill>
        </w:rPr>
      </w:pPr>
    </w:p>
    <w:p>
      <w:pPr>
        <w:rPr>
          <w:rFonts w:hint="eastAsia" w:ascii="黑体" w:hAnsi="黑体" w:eastAsia="黑体"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before="0" w:after="0" w:afterAutospacing="0" w:line="580" w:lineRule="exact"/>
        <w:textAlignment w:val="auto"/>
        <w:rPr>
          <w:rFonts w:hint="eastAsia" w:ascii="黑体" w:hAnsi="黑体" w:eastAsia="黑体"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hint="eastAsia" w:ascii="方正小标宋简体" w:hAnsi="黑体" w:eastAsia="方正小标宋简体"/>
          <w:color w:val="000000" w:themeColor="text1"/>
          <w:sz w:val="44"/>
          <w:szCs w:val="44"/>
          <w:lang w:val="en-US" w:eastAsia="zh-CN"/>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济南市市中区农业水价综合改革</w:t>
      </w:r>
      <w:r>
        <w:rPr>
          <w:rFonts w:hint="eastAsia" w:ascii="方正小标宋简体" w:hAnsi="黑体" w:eastAsia="方正小标宋简体"/>
          <w:color w:val="000000" w:themeColor="text1"/>
          <w:sz w:val="44"/>
          <w:szCs w:val="44"/>
          <w:lang w:val="en-US" w:eastAsia="zh-CN"/>
          <w14:textFill>
            <w14:solidFill>
              <w14:schemeClr w14:val="tx1"/>
            </w14:solidFill>
          </w14:textFill>
        </w:rPr>
        <w:t>部门责任分工</w:t>
      </w:r>
    </w:p>
    <w:p>
      <w:pPr>
        <w:pStyle w:val="2"/>
        <w:keepNext w:val="0"/>
        <w:keepLines w:val="0"/>
        <w:pageBreakBefore w:val="0"/>
        <w:widowControl w:val="0"/>
        <w:kinsoku/>
        <w:wordWrap/>
        <w:overflowPunct/>
        <w:topLinePunct w:val="0"/>
        <w:autoSpaceDE/>
        <w:autoSpaceDN/>
        <w:bidi w:val="0"/>
        <w:adjustRightInd/>
        <w:snapToGrid/>
        <w:spacing w:before="0" w:after="0" w:afterAutospacing="0"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区发展改革局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负责农业供水成本</w:t>
      </w:r>
      <w:r>
        <w:rPr>
          <w:rFonts w:hint="eastAsia" w:ascii="仿宋_GB2312" w:hAnsi="黑体" w:eastAsia="仿宋_GB2312"/>
          <w:color w:val="000000" w:themeColor="text1"/>
          <w:sz w:val="32"/>
          <w:szCs w:val="32"/>
          <w:lang w:val="en-US" w:eastAsia="zh-CN"/>
          <w14:textFill>
            <w14:solidFill>
              <w14:schemeClr w14:val="tx1"/>
            </w14:solidFill>
          </w14:textFill>
        </w:rPr>
        <w:t>核算</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农业用水价格核定、超定额累进加价和分类水价的制定，同时履行</w:t>
      </w:r>
      <w:r>
        <w:rPr>
          <w:rFonts w:hint="eastAsia" w:ascii="仿宋_GB2312" w:hAnsi="黑体" w:eastAsia="仿宋_GB2312"/>
          <w:color w:val="000000" w:themeColor="text1"/>
          <w:sz w:val="32"/>
          <w:szCs w:val="32"/>
          <w:lang w:val="en-US" w:eastAsia="zh-CN"/>
          <w14:textFill>
            <w14:solidFill>
              <w14:schemeClr w14:val="tx1"/>
            </w14:solidFill>
          </w14:textFill>
        </w:rPr>
        <w:t>农业用</w:t>
      </w:r>
      <w:r>
        <w:rPr>
          <w:rFonts w:hint="eastAsia" w:ascii="仿宋_GB2312" w:hAnsi="黑体" w:eastAsia="仿宋_GB2312"/>
          <w:color w:val="000000" w:themeColor="text1"/>
          <w:sz w:val="32"/>
          <w:szCs w:val="32"/>
          <w14:textFill>
            <w14:solidFill>
              <w14:schemeClr w14:val="tx1"/>
            </w14:solidFill>
          </w14:textFill>
        </w:rPr>
        <w:t>水</w:t>
      </w:r>
      <w:r>
        <w:rPr>
          <w:rFonts w:hint="eastAsia" w:ascii="仿宋_GB2312" w:hAnsi="黑体" w:eastAsia="仿宋_GB2312"/>
          <w:color w:val="000000" w:themeColor="text1"/>
          <w:sz w:val="32"/>
          <w:szCs w:val="32"/>
          <w:lang w:val="en-US" w:eastAsia="zh-CN"/>
          <w14:textFill>
            <w14:solidFill>
              <w14:schemeClr w14:val="tx1"/>
            </w14:solidFill>
          </w14:textFill>
        </w:rPr>
        <w:t>价格</w:t>
      </w:r>
      <w:r>
        <w:rPr>
          <w:rFonts w:hint="eastAsia" w:ascii="仿宋_GB2312" w:hAnsi="黑体" w:eastAsia="仿宋_GB2312"/>
          <w:color w:val="000000" w:themeColor="text1"/>
          <w:sz w:val="32"/>
          <w:szCs w:val="32"/>
          <w14:textFill>
            <w14:solidFill>
              <w14:schemeClr w14:val="tx1"/>
            </w14:solidFill>
          </w14:textFill>
        </w:rPr>
        <w:t>执行的监督责任</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14:textFill>
            <w14:solidFill>
              <w14:schemeClr w14:val="tx1"/>
            </w14:solidFill>
          </w14:textFill>
        </w:rPr>
        <w:t>财政局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负责指导建立</w:t>
      </w:r>
      <w:r>
        <w:rPr>
          <w:rFonts w:hint="eastAsia" w:ascii="仿宋_GB2312" w:hAnsi="黑体" w:eastAsia="仿宋_GB2312"/>
          <w:color w:val="000000" w:themeColor="text1"/>
          <w:sz w:val="32"/>
          <w:szCs w:val="32"/>
          <w:lang w:val="en-US" w:eastAsia="zh-CN"/>
          <w14:textFill>
            <w14:solidFill>
              <w14:schemeClr w14:val="tx1"/>
            </w14:solidFill>
          </w14:textFill>
        </w:rPr>
        <w:t>用水节水激励和精准补贴机制</w:t>
      </w:r>
      <w:r>
        <w:rPr>
          <w:rFonts w:hint="eastAsia" w:ascii="仿宋_GB2312" w:hAnsi="黑体" w:eastAsia="仿宋_GB2312"/>
          <w:color w:val="000000" w:themeColor="text1"/>
          <w:sz w:val="32"/>
          <w:szCs w:val="32"/>
          <w14:textFill>
            <w14:solidFill>
              <w14:schemeClr w14:val="tx1"/>
            </w14:solidFill>
          </w14:textFill>
        </w:rPr>
        <w:t>，落实补助资金</w:t>
      </w:r>
      <w:r>
        <w:rPr>
          <w:rFonts w:hint="eastAsia" w:ascii="仿宋_GB2312" w:hAnsi="黑体" w:eastAsia="仿宋_GB2312"/>
          <w:color w:val="000000" w:themeColor="text1"/>
          <w:sz w:val="32"/>
          <w:szCs w:val="32"/>
          <w:lang w:val="en-US" w:eastAsia="zh-CN"/>
          <w14:textFill>
            <w14:solidFill>
              <w14:schemeClr w14:val="tx1"/>
            </w14:solidFill>
          </w14:textFill>
        </w:rPr>
        <w:t>和管护经费</w:t>
      </w:r>
      <w:r>
        <w:rPr>
          <w:rFonts w:hint="eastAsia" w:ascii="仿宋_GB2312" w:hAnsi="黑体" w:eastAsia="仿宋_GB2312"/>
          <w:color w:val="000000" w:themeColor="text1"/>
          <w:sz w:val="32"/>
          <w:szCs w:val="32"/>
          <w14:textFill>
            <w14:solidFill>
              <w14:schemeClr w14:val="tx1"/>
            </w14:solidFill>
          </w14:textFill>
        </w:rPr>
        <w:t>，监督</w:t>
      </w:r>
      <w:r>
        <w:rPr>
          <w:rFonts w:hint="eastAsia" w:ascii="仿宋_GB2312" w:hAnsi="黑体" w:eastAsia="仿宋_GB2312"/>
          <w:color w:val="000000" w:themeColor="text1"/>
          <w:sz w:val="32"/>
          <w:szCs w:val="32"/>
          <w:lang w:val="en-US" w:eastAsia="zh-CN"/>
          <w14:textFill>
            <w14:solidFill>
              <w14:schemeClr w14:val="tx1"/>
            </w14:solidFill>
          </w14:textFill>
        </w:rPr>
        <w:t>农业水价改革工作</w:t>
      </w:r>
      <w:r>
        <w:rPr>
          <w:rFonts w:hint="eastAsia" w:ascii="仿宋_GB2312" w:hAnsi="黑体" w:eastAsia="仿宋_GB2312"/>
          <w:color w:val="000000" w:themeColor="text1"/>
          <w:sz w:val="32"/>
          <w:szCs w:val="32"/>
          <w14:textFill>
            <w14:solidFill>
              <w14:schemeClr w14:val="tx1"/>
            </w14:solidFill>
          </w14:textFill>
        </w:rPr>
        <w:t>资金使用和绩效评价</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sz w:val="32"/>
          <w:szCs w:val="32"/>
          <w14:textFill>
            <w14:solidFill>
              <w14:schemeClr w14:val="tx1"/>
            </w14:solidFill>
          </w14:textFill>
        </w:rPr>
        <w:t>水务局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负责</w:t>
      </w:r>
      <w:r>
        <w:rPr>
          <w:rFonts w:hint="eastAsia" w:ascii="仿宋_GB2312" w:hAnsi="黑体" w:eastAsia="仿宋_GB2312"/>
          <w:color w:val="000000" w:themeColor="text1"/>
          <w:sz w:val="32"/>
          <w:szCs w:val="32"/>
          <w:lang w:val="en-US" w:eastAsia="zh-CN"/>
          <w14:textFill>
            <w14:solidFill>
              <w14:schemeClr w14:val="tx1"/>
            </w14:solidFill>
          </w14:textFill>
        </w:rPr>
        <w:t>编制水价改革实施方案、核定改革范围、建好改革台账，</w:t>
      </w:r>
      <w:r>
        <w:rPr>
          <w:rFonts w:hint="eastAsia" w:ascii="仿宋_GB2312" w:hAnsi="黑体" w:eastAsia="仿宋_GB2312"/>
          <w:color w:val="000000" w:themeColor="text1"/>
          <w:sz w:val="32"/>
          <w:szCs w:val="32"/>
          <w14:textFill>
            <w14:solidFill>
              <w14:schemeClr w14:val="tx1"/>
            </w14:solidFill>
          </w14:textFill>
        </w:rPr>
        <w:t>确定农业用水总量控制指标、</w:t>
      </w:r>
      <w:r>
        <w:rPr>
          <w:rFonts w:hint="eastAsia" w:ascii="仿宋_GB2312" w:hAnsi="黑体" w:eastAsia="仿宋_GB2312"/>
          <w:color w:val="000000" w:themeColor="text1"/>
          <w:sz w:val="32"/>
          <w:szCs w:val="32"/>
          <w:lang w:val="en-US" w:eastAsia="zh-CN"/>
          <w14:textFill>
            <w14:solidFill>
              <w14:schemeClr w14:val="tx1"/>
            </w14:solidFill>
          </w14:textFill>
        </w:rPr>
        <w:t>水利</w:t>
      </w:r>
      <w:r>
        <w:rPr>
          <w:rFonts w:hint="eastAsia" w:ascii="仿宋_GB2312" w:hAnsi="黑体" w:eastAsia="仿宋_GB2312"/>
          <w:color w:val="000000" w:themeColor="text1"/>
          <w:sz w:val="32"/>
          <w:szCs w:val="32"/>
          <w14:textFill>
            <w14:solidFill>
              <w14:schemeClr w14:val="tx1"/>
            </w14:solidFill>
          </w14:textFill>
        </w:rPr>
        <w:t>工程产权界定、</w:t>
      </w:r>
      <w:r>
        <w:rPr>
          <w:rFonts w:hint="eastAsia" w:ascii="仿宋_GB2312" w:hAnsi="黑体" w:eastAsia="仿宋_GB2312"/>
          <w:color w:val="000000" w:themeColor="text1"/>
          <w:sz w:val="32"/>
          <w:szCs w:val="32"/>
          <w:lang w:val="en-US" w:eastAsia="zh-CN"/>
          <w14:textFill>
            <w14:solidFill>
              <w14:schemeClr w14:val="tx1"/>
            </w14:solidFill>
          </w14:textFill>
        </w:rPr>
        <w:t>健全</w:t>
      </w:r>
      <w:r>
        <w:rPr>
          <w:rFonts w:hint="eastAsia" w:ascii="仿宋_GB2312" w:hAnsi="黑体" w:eastAsia="仿宋_GB2312"/>
          <w:color w:val="000000" w:themeColor="text1"/>
          <w:sz w:val="32"/>
          <w:szCs w:val="32"/>
          <w14:textFill>
            <w14:solidFill>
              <w14:schemeClr w14:val="tx1"/>
            </w14:solidFill>
          </w14:textFill>
        </w:rPr>
        <w:t>农业</w:t>
      </w:r>
      <w:r>
        <w:rPr>
          <w:rFonts w:hint="eastAsia" w:ascii="仿宋_GB2312" w:hAnsi="黑体" w:eastAsia="仿宋_GB2312"/>
          <w:color w:val="000000" w:themeColor="text1"/>
          <w:sz w:val="32"/>
          <w:szCs w:val="32"/>
          <w:lang w:val="en-US" w:eastAsia="zh-CN"/>
          <w14:textFill>
            <w14:solidFill>
              <w14:schemeClr w14:val="tx1"/>
            </w14:solidFill>
          </w14:textFill>
        </w:rPr>
        <w:t>初始</w:t>
      </w:r>
      <w:r>
        <w:rPr>
          <w:rFonts w:hint="eastAsia" w:ascii="仿宋_GB2312" w:hAnsi="黑体" w:eastAsia="仿宋_GB2312"/>
          <w:color w:val="000000" w:themeColor="text1"/>
          <w:sz w:val="32"/>
          <w:szCs w:val="32"/>
          <w14:textFill>
            <w14:solidFill>
              <w14:schemeClr w14:val="tx1"/>
            </w14:solidFill>
          </w14:textFill>
        </w:rPr>
        <w:t>水权分配</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交易办法</w:t>
      </w:r>
      <w:r>
        <w:rPr>
          <w:rFonts w:hint="eastAsia" w:ascii="仿宋_GB2312" w:hAnsi="黑体" w:eastAsia="仿宋_GB2312"/>
          <w:color w:val="000000" w:themeColor="text1"/>
          <w:sz w:val="32"/>
          <w:szCs w:val="32"/>
          <w14:textFill>
            <w14:solidFill>
              <w14:schemeClr w14:val="tx1"/>
            </w14:solidFill>
          </w14:textFill>
        </w:rPr>
        <w:t>以及农业水价综合改革的日常工作</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w:t>
      </w:r>
      <w:r>
        <w:rPr>
          <w:rFonts w:hint="eastAsia" w:ascii="楷体_GB2312" w:hAnsi="楷体_GB2312" w:eastAsia="楷体_GB2312" w:cs="楷体_GB2312"/>
          <w:color w:val="000000" w:themeColor="text1"/>
          <w:sz w:val="32"/>
          <w:szCs w:val="32"/>
          <w14:textFill>
            <w14:solidFill>
              <w14:schemeClr w14:val="tx1"/>
            </w14:solidFill>
          </w14:textFill>
        </w:rPr>
        <w:t>农业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农村</w:t>
      </w:r>
      <w:r>
        <w:rPr>
          <w:rFonts w:hint="eastAsia" w:ascii="楷体_GB2312" w:hAnsi="楷体_GB2312" w:eastAsia="楷体_GB2312" w:cs="楷体_GB2312"/>
          <w:color w:val="000000" w:themeColor="text1"/>
          <w:sz w:val="32"/>
          <w:szCs w:val="32"/>
          <w14:textFill>
            <w14:solidFill>
              <w14:schemeClr w14:val="tx1"/>
            </w14:solidFill>
          </w14:textFill>
        </w:rPr>
        <w:t>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负责种植结构调整、农艺节水措施推广</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加大农业补贴支持力度，</w:t>
      </w:r>
      <w:r>
        <w:rPr>
          <w:rFonts w:hint="eastAsia" w:ascii="仿宋_GB2312" w:hAnsi="黑体" w:eastAsia="仿宋_GB2312"/>
          <w:color w:val="000000" w:themeColor="text1"/>
          <w:sz w:val="32"/>
          <w:szCs w:val="32"/>
          <w:lang w:val="en-US" w:eastAsia="zh-CN"/>
          <w14:textFill>
            <w14:solidFill>
              <w14:schemeClr w14:val="tx1"/>
            </w14:solidFill>
          </w14:textFill>
        </w:rPr>
        <w:t>完善农田水利工程的管护机制，</w:t>
      </w:r>
      <w:r>
        <w:rPr>
          <w:rFonts w:hint="eastAsia" w:ascii="仿宋_GB2312" w:hAnsi="黑体" w:eastAsia="仿宋_GB2312"/>
          <w:color w:val="000000" w:themeColor="text1"/>
          <w:sz w:val="32"/>
          <w:szCs w:val="32"/>
          <w14:textFill>
            <w14:solidFill>
              <w14:schemeClr w14:val="tx1"/>
            </w14:solidFill>
          </w14:textFill>
        </w:rPr>
        <w:t>在新实施的高标准农田范围内配套安装计量设施</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党家、陡沟街道办事处</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配合</w:t>
      </w:r>
      <w:r>
        <w:rPr>
          <w:rFonts w:hint="eastAsia" w:ascii="仿宋_GB2312" w:hAnsi="黑体" w:eastAsia="仿宋_GB2312"/>
          <w:color w:val="000000" w:themeColor="text1"/>
          <w:sz w:val="32"/>
          <w:szCs w:val="32"/>
          <w:lang w:eastAsia="zh-CN"/>
          <w14:textFill>
            <w14:solidFill>
              <w14:schemeClr w14:val="tx1"/>
            </w14:solidFill>
          </w14:textFill>
        </w:rPr>
        <w:t>相关</w:t>
      </w:r>
      <w:r>
        <w:rPr>
          <w:rFonts w:hint="eastAsia" w:ascii="仿宋_GB2312" w:hAnsi="黑体" w:eastAsia="仿宋_GB2312"/>
          <w:color w:val="000000" w:themeColor="text1"/>
          <w:sz w:val="32"/>
          <w:szCs w:val="32"/>
          <w:lang w:val="en-US" w:eastAsia="zh-CN"/>
          <w14:textFill>
            <w14:solidFill>
              <w14:schemeClr w14:val="tx1"/>
            </w14:solidFill>
          </w14:textFill>
        </w:rPr>
        <w:t>部门</w:t>
      </w:r>
      <w:r>
        <w:rPr>
          <w:rFonts w:hint="eastAsia" w:ascii="仿宋_GB2312" w:hAnsi="黑体" w:eastAsia="仿宋_GB2312"/>
          <w:color w:val="000000" w:themeColor="text1"/>
          <w:sz w:val="32"/>
          <w:szCs w:val="32"/>
          <w14:textFill>
            <w14:solidFill>
              <w14:schemeClr w14:val="tx1"/>
            </w14:solidFill>
          </w14:textFill>
        </w:rPr>
        <w:t>做好具体工作的落地实施。</w:t>
      </w:r>
    </w:p>
    <w:p>
      <w:pPr>
        <w:spacing w:line="360" w:lineRule="auto"/>
        <w:rPr>
          <w:rFonts w:ascii="仿宋_GB2312" w:hAnsi="仿宋" w:eastAsia="仿宋_GB2312"/>
          <w:color w:val="000000" w:themeColor="text1"/>
          <w:sz w:val="32"/>
          <w:szCs w:val="36"/>
          <w14:textFill>
            <w14:solidFill>
              <w14:schemeClr w14:val="tx1"/>
            </w14:solidFill>
          </w14:textFill>
        </w:rPr>
      </w:pPr>
    </w:p>
    <w:p>
      <w:r>
        <w:br w:type="page"/>
      </w:r>
    </w:p>
    <w:p/>
    <w:p>
      <w:pPr>
        <w:pStyle w:val="2"/>
      </w:pPr>
    </w:p>
    <w:p/>
    <w:p>
      <w:pPr>
        <w:pStyle w:val="2"/>
      </w:pPr>
    </w:p>
    <w:p/>
    <w:p>
      <w:pPr>
        <w:pStyle w:val="2"/>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widowControl/>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pStyle w:val="3"/>
        <w:keepNext w:val="0"/>
        <w:keepLines w:val="0"/>
        <w:pageBreakBefore w:val="0"/>
        <w:widowControl/>
        <w:kinsoku/>
        <w:wordWrap/>
        <w:overflowPunct/>
        <w:topLinePunct w:val="0"/>
        <w:autoSpaceDE/>
        <w:autoSpaceDN/>
        <w:bidi w:val="0"/>
        <w:adjustRightInd/>
        <w:snapToGrid/>
        <w:spacing w:line="240" w:lineRule="exact"/>
        <w:textAlignment w:val="auto"/>
        <w:rPr>
          <w:lang w:val="en-US"/>
        </w:rPr>
      </w:pPr>
    </w:p>
    <w:p>
      <w:pPr>
        <w:keepNext w:val="0"/>
        <w:keepLines w:val="0"/>
        <w:widowControl w:val="0"/>
        <w:suppressLineNumbers w:val="0"/>
        <w:tabs>
          <w:tab w:val="left" w:pos="622"/>
        </w:tabs>
        <w:spacing w:before="0" w:beforeAutospacing="0" w:after="0" w:afterAutospacing="0" w:line="180" w:lineRule="exact"/>
        <w:ind w:left="0" w:right="465"/>
        <w:jc w:val="both"/>
        <w:rPr>
          <w:rFonts w:hint="eastAsia" w:ascii="仿宋_GB2312" w:hAnsi="文星仿宋" w:eastAsia="仿宋_GB2312" w:cs="仿宋_GB2312"/>
          <w:szCs w:val="32"/>
          <w:lang w:val="en-US"/>
        </w:rPr>
      </w:pPr>
    </w:p>
    <w:p>
      <w:pPr>
        <w:keepNext w:val="0"/>
        <w:keepLines w:val="0"/>
        <w:widowControl w:val="0"/>
        <w:suppressLineNumbers w:val="0"/>
        <w:spacing w:before="0" w:beforeAutospacing="0" w:after="0" w:afterAutospacing="0" w:line="500" w:lineRule="exact"/>
        <w:ind w:left="840" w:right="0" w:hanging="840" w:hangingChars="4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9580" cy="0"/>
                <wp:effectExtent l="0" t="0" r="0" b="0"/>
                <wp:wrapNone/>
                <wp:docPr id="3" name="直线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35.4pt;z-index:251659264;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3RjW0gAAAAIB&#10;AAAPAAAAAAAAAAEAIAAAACIAAABkcnMvZG93bnJldi54bWxQSwECFAAUAAAACACHTuJA2QGbnOgB&#10;AADcAwAADgAAAAAAAAABACAAAAAhAQAAZHJzL2Uyb0RvYy54bWxQSwUGAAAAAAYABgBZAQAAewUA&#10;AAAA&#10;">
                <v:fill on="f" focussize="0,0"/>
                <v:stroke weight="1pt" color="#000000" joinstyle="round"/>
                <v:imagedata o:title=""/>
                <o:lock v:ext="edit" aspectratio="f"/>
              </v:line>
            </w:pict>
          </mc:Fallback>
        </mc:AlternateContent>
      </w:r>
      <w:r>
        <w:rPr>
          <w:rFonts w:hint="eastAsia" w:ascii="仿宋_GB2312" w:hAnsi="Times New Roman" w:eastAsia="仿宋_GB2312" w:cs="仿宋_GB2312"/>
          <w:kern w:val="2"/>
          <w:sz w:val="28"/>
          <w:szCs w:val="28"/>
          <w:lang w:val="en-US" w:eastAsia="zh-CN" w:bidi="ar"/>
        </w:rPr>
        <w:t>抄送：区委各部门，区人大常委会办公室，区政协办公室，区人武部，区法院，区检察院，区监察委，区各人民团体，驻区有关单位。</w:t>
      </w:r>
    </w:p>
    <w:p>
      <w:pPr>
        <w:keepNext w:val="0"/>
        <w:keepLines w:val="0"/>
        <w:widowControl w:val="0"/>
        <w:suppressLineNumbers w:val="0"/>
        <w:spacing w:before="0" w:beforeAutospacing="0" w:after="0" w:afterAutospacing="0" w:line="540" w:lineRule="exact"/>
        <w:ind w:left="0" w:right="0" w:firstLine="205" w:firstLineChars="98"/>
        <w:jc w:val="both"/>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0"/>
                <wp:effectExtent l="0" t="0" r="0" b="0"/>
                <wp:wrapNone/>
                <wp:docPr id="2" name="直线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35.4pt;z-index:251661312;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3RjW0gAAAAIB&#10;AAAPAAAAAAAAAAEAIAAAACIAAABkcnMvZG93bnJldi54bWxQSwECFAAUAAAACACHTuJApM8g5egB&#10;AADcAwAADgAAAAAAAAABACAAAAAhAQAAZHJzL2Uyb0RvYy54bWxQSwUGAAAAAAYABgBZAQAAewUA&#10;AAAA&#10;">
                <v:fill on="f" focussize="0,0"/>
                <v:stroke weight="1pt" color="#000000" joinstyle="round"/>
                <v:imagedata o:title=""/>
                <o:lock v:ext="edit" aspectratio="f"/>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29580" cy="0"/>
                <wp:effectExtent l="0" t="0" r="0" b="0"/>
                <wp:wrapNone/>
                <wp:docPr id="1" name="直线 4"/>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8pt;height:0pt;width:435.4pt;z-index:251660288;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mJvR7VAAAA&#10;BgEAAA8AAAAAAAAAAQAgAAAAIgAAAGRycy9kb3ducmV2LnhtbFBLAQIUABQAAAAIAIdO4kAIAv7c&#10;5wEAANw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_GB2312" w:hAnsi="Times New Roman" w:eastAsia="仿宋_GB2312" w:cs="仿宋_GB2312"/>
          <w:kern w:val="2"/>
          <w:sz w:val="28"/>
          <w:szCs w:val="28"/>
          <w:lang w:val="en-US" w:eastAsia="zh-CN" w:bidi="ar"/>
        </w:rPr>
        <w:t>济南市市中区人民政府办公室             2022年11月30日印发</w:t>
      </w:r>
    </w:p>
    <w:sectPr>
      <w:footerReference r:id="rId3" w:type="default"/>
      <w:footerReference r:id="rId4" w:type="even"/>
      <w:pgSz w:w="11906" w:h="16838"/>
      <w:pgMar w:top="2098" w:right="1474" w:bottom="192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文星仿宋">
    <w:panose1 w:val="02010604000101010101"/>
    <w:charset w:val="86"/>
    <w:family w:val="auto"/>
    <w:pitch w:val="variable"/>
    <w:sig w:usb0="00000001" w:usb1="080E0000" w:usb2="00000000" w:usb3="00000000" w:csb0="00040001" w:csb1="00000000"/>
  </w:font>
  <w:font w:name="@宋体">
    <w:panose1 w:val="02010600030101010101"/>
    <w:charset w:val="86"/>
    <w:family w:val="auto"/>
    <w:pitch w:val="variable"/>
    <w:sig w:usb0="00000003" w:usb1="288F0000" w:usb2="00000006" w:usb3="00000000" w:csb0="00040001" w:csb1="00000000"/>
  </w:font>
  <w:font w:name="华文中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568784"/>
      <w:docPartObj>
        <w:docPartGallery w:val="autotext"/>
      </w:docPartObj>
    </w:sdtPr>
    <w:sdtEndPr>
      <w:rPr>
        <w:rFonts w:ascii="宋体" w:hAnsi="宋体" w:eastAsia="宋体"/>
        <w:sz w:val="28"/>
        <w:szCs w:val="28"/>
      </w:rPr>
    </w:sdtEndPr>
    <w:sdtContent>
      <w:p>
        <w:pPr>
          <w:pStyle w:val="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759930"/>
      <w:docPartObj>
        <w:docPartGallery w:val="autotext"/>
      </w:docPartObj>
    </w:sdtPr>
    <w:sdtEndPr>
      <w:rPr>
        <w:rFonts w:ascii="宋体" w:hAnsi="宋体" w:eastAsia="宋体"/>
        <w:sz w:val="28"/>
        <w:szCs w:val="28"/>
      </w:rPr>
    </w:sdtEndPr>
    <w:sdtContent>
      <w:p>
        <w:pPr>
          <w:pStyle w:val="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wMTk3Yjc0NDQ4NWJlYTFlNzFhYzY5Y2IxNjRiNDUifQ=="/>
  </w:docVars>
  <w:rsids>
    <w:rsidRoot w:val="00FB6794"/>
    <w:rsid w:val="0000209C"/>
    <w:rsid w:val="00005F0C"/>
    <w:rsid w:val="000068A3"/>
    <w:rsid w:val="0001179A"/>
    <w:rsid w:val="00020CE8"/>
    <w:rsid w:val="00022575"/>
    <w:rsid w:val="00025983"/>
    <w:rsid w:val="0003596A"/>
    <w:rsid w:val="000411CA"/>
    <w:rsid w:val="00044090"/>
    <w:rsid w:val="00047877"/>
    <w:rsid w:val="00055A8E"/>
    <w:rsid w:val="00076712"/>
    <w:rsid w:val="000903C2"/>
    <w:rsid w:val="000A1A22"/>
    <w:rsid w:val="000A3D4A"/>
    <w:rsid w:val="000A4C71"/>
    <w:rsid w:val="000A54E4"/>
    <w:rsid w:val="000A6EBE"/>
    <w:rsid w:val="000B6C43"/>
    <w:rsid w:val="000C3A5C"/>
    <w:rsid w:val="000D1CD4"/>
    <w:rsid w:val="000D26BD"/>
    <w:rsid w:val="000E3B88"/>
    <w:rsid w:val="000E61E2"/>
    <w:rsid w:val="000F1642"/>
    <w:rsid w:val="000F7E00"/>
    <w:rsid w:val="00112AF6"/>
    <w:rsid w:val="00120A19"/>
    <w:rsid w:val="00120C38"/>
    <w:rsid w:val="0013108C"/>
    <w:rsid w:val="0013372D"/>
    <w:rsid w:val="0013476B"/>
    <w:rsid w:val="001647EB"/>
    <w:rsid w:val="00166333"/>
    <w:rsid w:val="001815E2"/>
    <w:rsid w:val="00192D1B"/>
    <w:rsid w:val="0019335C"/>
    <w:rsid w:val="001B505F"/>
    <w:rsid w:val="001B6022"/>
    <w:rsid w:val="001C12DC"/>
    <w:rsid w:val="001D02F1"/>
    <w:rsid w:val="001D1D2E"/>
    <w:rsid w:val="001E4C32"/>
    <w:rsid w:val="001F416A"/>
    <w:rsid w:val="00204A80"/>
    <w:rsid w:val="002072FC"/>
    <w:rsid w:val="00212F82"/>
    <w:rsid w:val="00213340"/>
    <w:rsid w:val="00213AF4"/>
    <w:rsid w:val="00214900"/>
    <w:rsid w:val="00236293"/>
    <w:rsid w:val="002449B7"/>
    <w:rsid w:val="00246C11"/>
    <w:rsid w:val="00261DE8"/>
    <w:rsid w:val="002753F9"/>
    <w:rsid w:val="002946A6"/>
    <w:rsid w:val="002A1F77"/>
    <w:rsid w:val="002A353B"/>
    <w:rsid w:val="002B200F"/>
    <w:rsid w:val="002C09AB"/>
    <w:rsid w:val="002D11D3"/>
    <w:rsid w:val="002D4567"/>
    <w:rsid w:val="00300F76"/>
    <w:rsid w:val="00300FCE"/>
    <w:rsid w:val="00302966"/>
    <w:rsid w:val="00302A70"/>
    <w:rsid w:val="00304E98"/>
    <w:rsid w:val="0031111B"/>
    <w:rsid w:val="0032255B"/>
    <w:rsid w:val="00325305"/>
    <w:rsid w:val="00341088"/>
    <w:rsid w:val="00341165"/>
    <w:rsid w:val="00355D0E"/>
    <w:rsid w:val="00356A10"/>
    <w:rsid w:val="00356D1B"/>
    <w:rsid w:val="0037198A"/>
    <w:rsid w:val="00373BBA"/>
    <w:rsid w:val="00375788"/>
    <w:rsid w:val="00395102"/>
    <w:rsid w:val="0039583A"/>
    <w:rsid w:val="003A1662"/>
    <w:rsid w:val="003A56C9"/>
    <w:rsid w:val="003B27F6"/>
    <w:rsid w:val="003E2B62"/>
    <w:rsid w:val="003F360B"/>
    <w:rsid w:val="0041024F"/>
    <w:rsid w:val="00412A4A"/>
    <w:rsid w:val="00415ADB"/>
    <w:rsid w:val="00423AAA"/>
    <w:rsid w:val="00427D3C"/>
    <w:rsid w:val="004325E7"/>
    <w:rsid w:val="00434132"/>
    <w:rsid w:val="00460BC5"/>
    <w:rsid w:val="004645B2"/>
    <w:rsid w:val="00473BA1"/>
    <w:rsid w:val="00481EE7"/>
    <w:rsid w:val="004A3D12"/>
    <w:rsid w:val="004B2656"/>
    <w:rsid w:val="004B274C"/>
    <w:rsid w:val="004D36F9"/>
    <w:rsid w:val="004E1C4D"/>
    <w:rsid w:val="004F208E"/>
    <w:rsid w:val="004F7C77"/>
    <w:rsid w:val="0050221E"/>
    <w:rsid w:val="005264DB"/>
    <w:rsid w:val="0055439C"/>
    <w:rsid w:val="00563761"/>
    <w:rsid w:val="00581BD4"/>
    <w:rsid w:val="00586B45"/>
    <w:rsid w:val="005948B6"/>
    <w:rsid w:val="005A3CD6"/>
    <w:rsid w:val="005B3C81"/>
    <w:rsid w:val="005C10A1"/>
    <w:rsid w:val="005D0CD7"/>
    <w:rsid w:val="005D44B4"/>
    <w:rsid w:val="005E3B04"/>
    <w:rsid w:val="005F177B"/>
    <w:rsid w:val="005F3DA2"/>
    <w:rsid w:val="005F7FFA"/>
    <w:rsid w:val="00610C76"/>
    <w:rsid w:val="00614497"/>
    <w:rsid w:val="006235BC"/>
    <w:rsid w:val="00625E87"/>
    <w:rsid w:val="006342B9"/>
    <w:rsid w:val="00642DCA"/>
    <w:rsid w:val="00646211"/>
    <w:rsid w:val="00646A39"/>
    <w:rsid w:val="00653786"/>
    <w:rsid w:val="00653E70"/>
    <w:rsid w:val="0066576C"/>
    <w:rsid w:val="00692905"/>
    <w:rsid w:val="0069687F"/>
    <w:rsid w:val="006B32C5"/>
    <w:rsid w:val="006C54E0"/>
    <w:rsid w:val="006C5D8D"/>
    <w:rsid w:val="006D17E0"/>
    <w:rsid w:val="006E3671"/>
    <w:rsid w:val="006F55AD"/>
    <w:rsid w:val="007159A2"/>
    <w:rsid w:val="007167D6"/>
    <w:rsid w:val="00731571"/>
    <w:rsid w:val="00741F0E"/>
    <w:rsid w:val="007554AF"/>
    <w:rsid w:val="007618F8"/>
    <w:rsid w:val="00762DCA"/>
    <w:rsid w:val="00770953"/>
    <w:rsid w:val="00771AC6"/>
    <w:rsid w:val="0078509D"/>
    <w:rsid w:val="00796CFE"/>
    <w:rsid w:val="007B1624"/>
    <w:rsid w:val="007B21E5"/>
    <w:rsid w:val="007B33AC"/>
    <w:rsid w:val="007D1149"/>
    <w:rsid w:val="007D3F25"/>
    <w:rsid w:val="007D48EC"/>
    <w:rsid w:val="007D5EAA"/>
    <w:rsid w:val="007D6AA1"/>
    <w:rsid w:val="007E5C55"/>
    <w:rsid w:val="007E7655"/>
    <w:rsid w:val="007F1448"/>
    <w:rsid w:val="008037FC"/>
    <w:rsid w:val="00806A34"/>
    <w:rsid w:val="00812C8C"/>
    <w:rsid w:val="0082243F"/>
    <w:rsid w:val="00830936"/>
    <w:rsid w:val="0083381A"/>
    <w:rsid w:val="00845170"/>
    <w:rsid w:val="00852590"/>
    <w:rsid w:val="00852C53"/>
    <w:rsid w:val="00857017"/>
    <w:rsid w:val="008602C4"/>
    <w:rsid w:val="0086102E"/>
    <w:rsid w:val="00885F40"/>
    <w:rsid w:val="00892719"/>
    <w:rsid w:val="008A1D5F"/>
    <w:rsid w:val="008B115D"/>
    <w:rsid w:val="008B1E19"/>
    <w:rsid w:val="008D3E43"/>
    <w:rsid w:val="008F254C"/>
    <w:rsid w:val="00900E36"/>
    <w:rsid w:val="00911C75"/>
    <w:rsid w:val="00913FA9"/>
    <w:rsid w:val="00944B63"/>
    <w:rsid w:val="00946308"/>
    <w:rsid w:val="00947833"/>
    <w:rsid w:val="00962A89"/>
    <w:rsid w:val="00964F91"/>
    <w:rsid w:val="00984E0C"/>
    <w:rsid w:val="00996565"/>
    <w:rsid w:val="009A568A"/>
    <w:rsid w:val="009A6933"/>
    <w:rsid w:val="009D454F"/>
    <w:rsid w:val="009E11E6"/>
    <w:rsid w:val="00A0730C"/>
    <w:rsid w:val="00A123DD"/>
    <w:rsid w:val="00A15DC9"/>
    <w:rsid w:val="00A219F4"/>
    <w:rsid w:val="00A23D0A"/>
    <w:rsid w:val="00A26267"/>
    <w:rsid w:val="00A332E8"/>
    <w:rsid w:val="00A43BBB"/>
    <w:rsid w:val="00A51360"/>
    <w:rsid w:val="00A51EFD"/>
    <w:rsid w:val="00A52D49"/>
    <w:rsid w:val="00A54FE2"/>
    <w:rsid w:val="00A854DC"/>
    <w:rsid w:val="00A86C68"/>
    <w:rsid w:val="00A87753"/>
    <w:rsid w:val="00A87973"/>
    <w:rsid w:val="00A9319F"/>
    <w:rsid w:val="00AA2A29"/>
    <w:rsid w:val="00AB2795"/>
    <w:rsid w:val="00AB38D9"/>
    <w:rsid w:val="00AB6B6F"/>
    <w:rsid w:val="00AC2ECD"/>
    <w:rsid w:val="00AD55E3"/>
    <w:rsid w:val="00AD5A9C"/>
    <w:rsid w:val="00AE04D4"/>
    <w:rsid w:val="00AF249E"/>
    <w:rsid w:val="00B12337"/>
    <w:rsid w:val="00B1348F"/>
    <w:rsid w:val="00B16D44"/>
    <w:rsid w:val="00B26CC1"/>
    <w:rsid w:val="00B33BBF"/>
    <w:rsid w:val="00B454EB"/>
    <w:rsid w:val="00B45D37"/>
    <w:rsid w:val="00B46071"/>
    <w:rsid w:val="00B55F5A"/>
    <w:rsid w:val="00B666F4"/>
    <w:rsid w:val="00B66884"/>
    <w:rsid w:val="00B739E2"/>
    <w:rsid w:val="00B75E06"/>
    <w:rsid w:val="00B83F8F"/>
    <w:rsid w:val="00B93CDF"/>
    <w:rsid w:val="00BA51CC"/>
    <w:rsid w:val="00BB2089"/>
    <w:rsid w:val="00BB70F5"/>
    <w:rsid w:val="00BC4B7D"/>
    <w:rsid w:val="00BE122C"/>
    <w:rsid w:val="00BF0688"/>
    <w:rsid w:val="00BF0A4B"/>
    <w:rsid w:val="00C0145A"/>
    <w:rsid w:val="00C0576F"/>
    <w:rsid w:val="00C11841"/>
    <w:rsid w:val="00C16D86"/>
    <w:rsid w:val="00C2192B"/>
    <w:rsid w:val="00C274C1"/>
    <w:rsid w:val="00C31220"/>
    <w:rsid w:val="00C34222"/>
    <w:rsid w:val="00C517A4"/>
    <w:rsid w:val="00C6229A"/>
    <w:rsid w:val="00C62965"/>
    <w:rsid w:val="00C67555"/>
    <w:rsid w:val="00C753AF"/>
    <w:rsid w:val="00C812D1"/>
    <w:rsid w:val="00C93FCC"/>
    <w:rsid w:val="00C97770"/>
    <w:rsid w:val="00CA5CD0"/>
    <w:rsid w:val="00CA6A6E"/>
    <w:rsid w:val="00CB1197"/>
    <w:rsid w:val="00CB43CD"/>
    <w:rsid w:val="00CC5BBF"/>
    <w:rsid w:val="00CE5949"/>
    <w:rsid w:val="00CF7583"/>
    <w:rsid w:val="00CF7A9D"/>
    <w:rsid w:val="00D029E1"/>
    <w:rsid w:val="00D16F18"/>
    <w:rsid w:val="00D21DC7"/>
    <w:rsid w:val="00D30A20"/>
    <w:rsid w:val="00D34788"/>
    <w:rsid w:val="00D36398"/>
    <w:rsid w:val="00D3773B"/>
    <w:rsid w:val="00D378C8"/>
    <w:rsid w:val="00D40897"/>
    <w:rsid w:val="00D6032C"/>
    <w:rsid w:val="00D60661"/>
    <w:rsid w:val="00D614A3"/>
    <w:rsid w:val="00D67C37"/>
    <w:rsid w:val="00D7589B"/>
    <w:rsid w:val="00D83C06"/>
    <w:rsid w:val="00D877D8"/>
    <w:rsid w:val="00D916A1"/>
    <w:rsid w:val="00D91B71"/>
    <w:rsid w:val="00DB621E"/>
    <w:rsid w:val="00DC085E"/>
    <w:rsid w:val="00DD5CCE"/>
    <w:rsid w:val="00DD70E2"/>
    <w:rsid w:val="00DE1D49"/>
    <w:rsid w:val="00DE43F9"/>
    <w:rsid w:val="00DF2E5E"/>
    <w:rsid w:val="00DF3B6E"/>
    <w:rsid w:val="00DF7881"/>
    <w:rsid w:val="00DF79D0"/>
    <w:rsid w:val="00E03343"/>
    <w:rsid w:val="00E162F5"/>
    <w:rsid w:val="00E16FB3"/>
    <w:rsid w:val="00E23B1B"/>
    <w:rsid w:val="00E23D71"/>
    <w:rsid w:val="00E2753D"/>
    <w:rsid w:val="00E34349"/>
    <w:rsid w:val="00E54567"/>
    <w:rsid w:val="00E5459E"/>
    <w:rsid w:val="00E5654D"/>
    <w:rsid w:val="00E74147"/>
    <w:rsid w:val="00E75D07"/>
    <w:rsid w:val="00E81C88"/>
    <w:rsid w:val="00EA1081"/>
    <w:rsid w:val="00EB1B8A"/>
    <w:rsid w:val="00EC0783"/>
    <w:rsid w:val="00EC56DC"/>
    <w:rsid w:val="00ED2399"/>
    <w:rsid w:val="00ED460B"/>
    <w:rsid w:val="00ED5074"/>
    <w:rsid w:val="00EE62B4"/>
    <w:rsid w:val="00F07256"/>
    <w:rsid w:val="00F2234F"/>
    <w:rsid w:val="00F25A27"/>
    <w:rsid w:val="00F34667"/>
    <w:rsid w:val="00F35168"/>
    <w:rsid w:val="00F4435F"/>
    <w:rsid w:val="00F44649"/>
    <w:rsid w:val="00FB4250"/>
    <w:rsid w:val="00FB6794"/>
    <w:rsid w:val="00FC285C"/>
    <w:rsid w:val="00FC2CD9"/>
    <w:rsid w:val="00FC2E56"/>
    <w:rsid w:val="00FD798C"/>
    <w:rsid w:val="00FE0792"/>
    <w:rsid w:val="00FF45E1"/>
    <w:rsid w:val="019F6772"/>
    <w:rsid w:val="01C40DDD"/>
    <w:rsid w:val="0266382F"/>
    <w:rsid w:val="030221A8"/>
    <w:rsid w:val="039B52FB"/>
    <w:rsid w:val="04237B42"/>
    <w:rsid w:val="043A677E"/>
    <w:rsid w:val="058259D0"/>
    <w:rsid w:val="05CA098C"/>
    <w:rsid w:val="0687062B"/>
    <w:rsid w:val="069211D5"/>
    <w:rsid w:val="070B125C"/>
    <w:rsid w:val="07175F02"/>
    <w:rsid w:val="07692B06"/>
    <w:rsid w:val="07B228C5"/>
    <w:rsid w:val="080F79F7"/>
    <w:rsid w:val="082448F3"/>
    <w:rsid w:val="09666251"/>
    <w:rsid w:val="09BD5F13"/>
    <w:rsid w:val="09D13D13"/>
    <w:rsid w:val="09E27EA4"/>
    <w:rsid w:val="0A4A209B"/>
    <w:rsid w:val="0AA16888"/>
    <w:rsid w:val="0B073DE9"/>
    <w:rsid w:val="0B85559E"/>
    <w:rsid w:val="0C3E7A3E"/>
    <w:rsid w:val="0C650C13"/>
    <w:rsid w:val="0C995047"/>
    <w:rsid w:val="0D3533DF"/>
    <w:rsid w:val="0E221F97"/>
    <w:rsid w:val="0EFF7A1C"/>
    <w:rsid w:val="0F822D1C"/>
    <w:rsid w:val="10B011A1"/>
    <w:rsid w:val="11D81E1B"/>
    <w:rsid w:val="135F11A3"/>
    <w:rsid w:val="148F75FC"/>
    <w:rsid w:val="14945A8D"/>
    <w:rsid w:val="14AE732A"/>
    <w:rsid w:val="15164101"/>
    <w:rsid w:val="15A31175"/>
    <w:rsid w:val="15C251DC"/>
    <w:rsid w:val="16217810"/>
    <w:rsid w:val="1631170F"/>
    <w:rsid w:val="16FD3C80"/>
    <w:rsid w:val="17510416"/>
    <w:rsid w:val="17B9674B"/>
    <w:rsid w:val="18895744"/>
    <w:rsid w:val="18B21B40"/>
    <w:rsid w:val="198500D3"/>
    <w:rsid w:val="1A2134DF"/>
    <w:rsid w:val="1AA964C2"/>
    <w:rsid w:val="1B384E81"/>
    <w:rsid w:val="1B620500"/>
    <w:rsid w:val="1BD03A58"/>
    <w:rsid w:val="1BEA6CA3"/>
    <w:rsid w:val="1C24034D"/>
    <w:rsid w:val="1CB475FC"/>
    <w:rsid w:val="1D6113A8"/>
    <w:rsid w:val="1D771BDD"/>
    <w:rsid w:val="1E3D569E"/>
    <w:rsid w:val="1E61232A"/>
    <w:rsid w:val="1F3003F0"/>
    <w:rsid w:val="1FDE4AA9"/>
    <w:rsid w:val="1FE944EB"/>
    <w:rsid w:val="205C0613"/>
    <w:rsid w:val="22A615FC"/>
    <w:rsid w:val="22FA23DA"/>
    <w:rsid w:val="235F41EA"/>
    <w:rsid w:val="243673B9"/>
    <w:rsid w:val="24DD00D0"/>
    <w:rsid w:val="25854B57"/>
    <w:rsid w:val="25D7049B"/>
    <w:rsid w:val="27A015BD"/>
    <w:rsid w:val="27FC632B"/>
    <w:rsid w:val="28C2538D"/>
    <w:rsid w:val="291931BB"/>
    <w:rsid w:val="292320BC"/>
    <w:rsid w:val="29DA435F"/>
    <w:rsid w:val="29DB22F9"/>
    <w:rsid w:val="2A611612"/>
    <w:rsid w:val="2B563FA5"/>
    <w:rsid w:val="2CAE2713"/>
    <w:rsid w:val="2D1E52A8"/>
    <w:rsid w:val="2D532029"/>
    <w:rsid w:val="2D6615EE"/>
    <w:rsid w:val="2D984E3C"/>
    <w:rsid w:val="2EFA3339"/>
    <w:rsid w:val="300264A9"/>
    <w:rsid w:val="31A3167C"/>
    <w:rsid w:val="31D64A87"/>
    <w:rsid w:val="330D3AE3"/>
    <w:rsid w:val="333853C5"/>
    <w:rsid w:val="34050751"/>
    <w:rsid w:val="346B3703"/>
    <w:rsid w:val="351F3659"/>
    <w:rsid w:val="35EB2F91"/>
    <w:rsid w:val="36FE7630"/>
    <w:rsid w:val="372C4253"/>
    <w:rsid w:val="378B0797"/>
    <w:rsid w:val="385C0613"/>
    <w:rsid w:val="386C783C"/>
    <w:rsid w:val="38773FB8"/>
    <w:rsid w:val="38890D7B"/>
    <w:rsid w:val="3A9A252F"/>
    <w:rsid w:val="3AFB22C3"/>
    <w:rsid w:val="3B190A0E"/>
    <w:rsid w:val="3B541C56"/>
    <w:rsid w:val="3B5D16DC"/>
    <w:rsid w:val="3B610AE5"/>
    <w:rsid w:val="3BEA06FF"/>
    <w:rsid w:val="3BFD18B3"/>
    <w:rsid w:val="3D2822D6"/>
    <w:rsid w:val="3D435EB9"/>
    <w:rsid w:val="3D505080"/>
    <w:rsid w:val="3D761BE4"/>
    <w:rsid w:val="3DDF2113"/>
    <w:rsid w:val="3EE6318E"/>
    <w:rsid w:val="421D2E5F"/>
    <w:rsid w:val="434D375B"/>
    <w:rsid w:val="43502061"/>
    <w:rsid w:val="44201C1E"/>
    <w:rsid w:val="447A1390"/>
    <w:rsid w:val="44F30DDA"/>
    <w:rsid w:val="4550131C"/>
    <w:rsid w:val="45C110CC"/>
    <w:rsid w:val="465C19B6"/>
    <w:rsid w:val="475F64E3"/>
    <w:rsid w:val="47743CD8"/>
    <w:rsid w:val="480E2E57"/>
    <w:rsid w:val="48CB5B7A"/>
    <w:rsid w:val="49663809"/>
    <w:rsid w:val="49DF6019"/>
    <w:rsid w:val="4AE20E30"/>
    <w:rsid w:val="4BF60595"/>
    <w:rsid w:val="4C4C6CE1"/>
    <w:rsid w:val="4C696EC5"/>
    <w:rsid w:val="4CAA019C"/>
    <w:rsid w:val="4CE90456"/>
    <w:rsid w:val="4D1C2E79"/>
    <w:rsid w:val="4D8B093C"/>
    <w:rsid w:val="4E7D64B2"/>
    <w:rsid w:val="4E9B2A8D"/>
    <w:rsid w:val="4EAC27CA"/>
    <w:rsid w:val="4F625F28"/>
    <w:rsid w:val="50786DBA"/>
    <w:rsid w:val="522C042D"/>
    <w:rsid w:val="52EB0BC7"/>
    <w:rsid w:val="52EB6421"/>
    <w:rsid w:val="52ED0D39"/>
    <w:rsid w:val="52EF4CB5"/>
    <w:rsid w:val="545B116A"/>
    <w:rsid w:val="555D77D1"/>
    <w:rsid w:val="56207D55"/>
    <w:rsid w:val="565B0382"/>
    <w:rsid w:val="568D46B3"/>
    <w:rsid w:val="57160908"/>
    <w:rsid w:val="57811BDA"/>
    <w:rsid w:val="580544D9"/>
    <w:rsid w:val="580B438A"/>
    <w:rsid w:val="585A0F04"/>
    <w:rsid w:val="586E67F3"/>
    <w:rsid w:val="58A33C7B"/>
    <w:rsid w:val="58E97BDD"/>
    <w:rsid w:val="59621527"/>
    <w:rsid w:val="597A3923"/>
    <w:rsid w:val="59B11B19"/>
    <w:rsid w:val="59BA18D1"/>
    <w:rsid w:val="59FB7E00"/>
    <w:rsid w:val="59FE3009"/>
    <w:rsid w:val="5B0B0138"/>
    <w:rsid w:val="5B1A3CC2"/>
    <w:rsid w:val="5B8023AA"/>
    <w:rsid w:val="5DEB79CC"/>
    <w:rsid w:val="5E6A4FCE"/>
    <w:rsid w:val="5F136978"/>
    <w:rsid w:val="5F2B1604"/>
    <w:rsid w:val="600A1F20"/>
    <w:rsid w:val="603A15BF"/>
    <w:rsid w:val="618516E6"/>
    <w:rsid w:val="61D70A17"/>
    <w:rsid w:val="628151C5"/>
    <w:rsid w:val="62CF34EA"/>
    <w:rsid w:val="646503F2"/>
    <w:rsid w:val="64DF467F"/>
    <w:rsid w:val="656A6388"/>
    <w:rsid w:val="656F7A16"/>
    <w:rsid w:val="66273014"/>
    <w:rsid w:val="66CE3047"/>
    <w:rsid w:val="67871A69"/>
    <w:rsid w:val="68062B9E"/>
    <w:rsid w:val="6B3B0F4D"/>
    <w:rsid w:val="6C604859"/>
    <w:rsid w:val="6CF272CA"/>
    <w:rsid w:val="6EF0423B"/>
    <w:rsid w:val="6F226A58"/>
    <w:rsid w:val="6F620ECF"/>
    <w:rsid w:val="701B4020"/>
    <w:rsid w:val="701E57E2"/>
    <w:rsid w:val="70210906"/>
    <w:rsid w:val="70BE4443"/>
    <w:rsid w:val="70CD7E32"/>
    <w:rsid w:val="713F410A"/>
    <w:rsid w:val="719E5D80"/>
    <w:rsid w:val="72872262"/>
    <w:rsid w:val="734F5F97"/>
    <w:rsid w:val="73B15F2D"/>
    <w:rsid w:val="73D57B7F"/>
    <w:rsid w:val="74E72529"/>
    <w:rsid w:val="76862471"/>
    <w:rsid w:val="770B3462"/>
    <w:rsid w:val="78CD2FA5"/>
    <w:rsid w:val="79D830B3"/>
    <w:rsid w:val="7A722F48"/>
    <w:rsid w:val="7AB81753"/>
    <w:rsid w:val="7ABD61A0"/>
    <w:rsid w:val="7BB447C0"/>
    <w:rsid w:val="7C831CEC"/>
    <w:rsid w:val="7D9928B2"/>
    <w:rsid w:val="7E322EAF"/>
    <w:rsid w:val="7F283FEE"/>
    <w:rsid w:val="7FE82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spacing w:before="120" w:after="100" w:afterAutospacing="1"/>
    </w:pPr>
    <w:rPr>
      <w:rFonts w:ascii="Arial" w:hAnsi="Arial" w:cs="Arial"/>
    </w:rPr>
  </w:style>
  <w:style w:type="paragraph" w:styleId="3">
    <w:name w:val="Body Text"/>
    <w:basedOn w:val="1"/>
    <w:semiHidden/>
    <w:unhideWhenUsed/>
    <w:qFormat/>
    <w:uiPriority w:val="99"/>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sz w:val="18"/>
      <w:szCs w:val="18"/>
    </w:rPr>
  </w:style>
  <w:style w:type="paragraph" w:customStyle="1" w:styleId="12">
    <w:name w:val="正文1"/>
    <w:basedOn w:val="1"/>
    <w:qFormat/>
    <w:uiPriority w:val="0"/>
    <w:pPr>
      <w:widowControl/>
      <w:ind w:firstLine="560" w:firstLineChars="200"/>
    </w:pPr>
    <w:rPr>
      <w:rFonts w:ascii="宋体" w:hAnsi="宋体"/>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5981</Words>
  <Characters>6191</Characters>
  <Lines>62</Lines>
  <Paragraphs>17</Paragraphs>
  <TotalTime>34</TotalTime>
  <ScaleCrop>false</ScaleCrop>
  <LinksUpToDate>false</LinksUpToDate>
  <CharactersWithSpaces>6258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2022-08-23T09:08:00Z</dcterms:created>
  <dc:creator>张 立志</dc:creator>
  <cp:lastModifiedBy>云淡风轻</cp:lastModifiedBy>
  <cp:lastPrinted>2022-11-03T03:08:00Z</cp:lastPrinted>
  <dcterms:modified xsi:type="dcterms:W3CDTF">2022-12-05T01:32:21Z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89E477CF48084CAABB0C158E218D56D9</vt:lpwstr>
  </property>
</Properties>
</file>