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:rsidR="005F021B" w:rsidRDefault="00000000" w:rsidP="00464B70">
      <w:pPr>
        <w:widowControl/>
        <w:shd w:val="clear" w:color="auto" w:fill="FFFFFF"/>
        <w:spacing w:beforeLines="100" w:before="312" w:line="580" w:lineRule="exact"/>
        <w:jc w:val="center"/>
        <w:rPr>
          <w:rFonts w:ascii="方正小标宋简体" w:eastAsia="方正小标宋简体" w:hAnsi="宋体" w:cs="宋体"/>
          <w:color w:val="333333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color w:val="333333"/>
          <w:kern w:val="0"/>
          <w:sz w:val="44"/>
          <w:szCs w:val="44"/>
        </w:rPr>
        <w:t>济南市市中区人民政府2022年</w:t>
      </w:r>
    </w:p>
    <w:p w:rsidR="006567A8" w:rsidRDefault="00000000" w:rsidP="00464B70">
      <w:pPr>
        <w:widowControl/>
        <w:shd w:val="clear" w:color="auto" w:fill="FFFFFF"/>
        <w:spacing w:afterLines="100" w:after="312" w:line="580" w:lineRule="exact"/>
        <w:jc w:val="center"/>
        <w:rPr>
          <w:rFonts w:ascii="方正小标宋简体" w:eastAsia="方正小标宋简体" w:hAnsi="宋体" w:cs="宋体"/>
          <w:color w:val="333333"/>
          <w:kern w:val="0"/>
          <w:sz w:val="44"/>
          <w:szCs w:val="44"/>
        </w:rPr>
      </w:pPr>
      <w:r>
        <w:rPr>
          <w:rFonts w:ascii="方正小标宋简体" w:eastAsia="方正小标宋简体" w:hAnsi="宋体" w:cs="宋体" w:hint="eastAsia"/>
          <w:color w:val="333333"/>
          <w:kern w:val="0"/>
          <w:sz w:val="44"/>
          <w:szCs w:val="44"/>
        </w:rPr>
        <w:t>政府信息公开工作年度报告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本年度报告根据《中华人民共和国政府信息公开条例》（以下简称《条例》）和《国务院办公厅政府信息与政务公开办公室关于印发&lt;中华人民共和国政府信息公开工作年度报告格式&gt;的通知》（国办公开办函〔2021〕3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0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号）相关要求编制，内容包括总体情况、主动公开政府信息情况、收到和处理政府信息公开申请情况、政府信息公开行政复议和行政诉讼情况、存在的主要问题及改进情况、其他需要报告的事项等六个部分。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报告中所列数据统计期限自2022年1月1日起至2022年12月31日止，如对本报告有任何疑问，请与济南市市中区人民政府办公室联系（地址：济南市市中区经八路122号；邮编：250001；电子邮箱:jnszqzfbxxk@jn.shandong.cn；联系电话：0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531-82078301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）。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黑体" w:eastAsia="黑体" w:hAnsi="黑体" w:cs="宋体"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一、总体情况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2022年，市中区紧扣政务公开年度重点工作任务，持续提升新时代政务公开质量和实效，增强人民群众满意度和幸福度，为建设新时代社会主义现代化活力品质强区贡献力量。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（一）主动公开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一是细化公开目录建设，扎实做好机构职能、统计领域等信息公开。二是推进重点领域信息公开，全区82所中小学和54所医</w:t>
      </w:r>
      <w:proofErr w:type="gramStart"/>
      <w:r>
        <w:rPr>
          <w:rFonts w:ascii="仿宋_GB2312" w:eastAsia="仿宋_GB2312" w:hAnsi="宋体" w:cs="宋体" w:hint="eastAsia"/>
          <w:kern w:val="0"/>
          <w:sz w:val="32"/>
          <w:szCs w:val="32"/>
        </w:rPr>
        <w:t>疗</w:t>
      </w:r>
      <w:proofErr w:type="gramEnd"/>
      <w:r>
        <w:rPr>
          <w:rFonts w:ascii="仿宋_GB2312" w:eastAsia="仿宋_GB2312" w:hAnsi="宋体" w:cs="宋体" w:hint="eastAsia"/>
          <w:kern w:val="0"/>
          <w:sz w:val="32"/>
          <w:szCs w:val="32"/>
        </w:rPr>
        <w:t>卫生机构等公共企事业单位公开信息5500余条，主动公开优化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lastRenderedPageBreak/>
        <w:t>营商环境、政府工作报告任务进展、教育就业等重点领域信息；梳理并公开交通运输、旅游、统计、新闻出版版权、水利等7个领域基层政务公开标准目录。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三是做好政策解读，2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022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年公开各类解读材料4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00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余条，完善常务会议议题解读和图文解读等，对主动公开的重要性政策文件增加主要负责人解读、媒体解读和专家解读。全年通过政府门户网站主动公开政府信息1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6300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余条。</w:t>
      </w:r>
    </w:p>
    <w:p w:rsidR="006567A8" w:rsidRDefault="00000000">
      <w:pPr>
        <w:jc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4289425" cy="2282190"/>
            <wp:effectExtent l="0" t="0" r="15875" b="3810"/>
            <wp:docPr id="1" name="图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10月全区开展了以“公开助力稳经济，共商市中新发展”为主题的第二届“政府开放月”活动。全区各单位围绕年度中心工作，聚焦公众关切和民生事项，举办开放活动44场。开放月活动启动仪式</w:t>
      </w:r>
      <w:r>
        <w:rPr>
          <w:rFonts w:ascii="仿宋_GB2312" w:eastAsia="仿宋_GB2312" w:hint="eastAsia"/>
          <w:sz w:val="32"/>
          <w:szCs w:val="32"/>
        </w:rPr>
        <w:t>活动现场采用图文直播，吸引了近3</w:t>
      </w:r>
      <w:r>
        <w:rPr>
          <w:rFonts w:ascii="仿宋_GB2312" w:eastAsia="仿宋_GB2312"/>
          <w:sz w:val="32"/>
          <w:szCs w:val="32"/>
        </w:rPr>
        <w:t>200</w:t>
      </w:r>
      <w:r>
        <w:rPr>
          <w:rFonts w:ascii="仿宋_GB2312" w:eastAsia="仿宋_GB2312" w:hint="eastAsia"/>
          <w:sz w:val="32"/>
          <w:szCs w:val="32"/>
        </w:rPr>
        <w:t>余人“云”观看，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700多名群众代表参加线下活动，收集有效意见建议93条，</w:t>
      </w:r>
      <w:r>
        <w:rPr>
          <w:rFonts w:ascii="仿宋_GB2312" w:eastAsia="仿宋_GB2312" w:hint="eastAsia"/>
          <w:sz w:val="32"/>
          <w:szCs w:val="32"/>
        </w:rPr>
        <w:t>取得良好的社会成效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。</w:t>
      </w:r>
    </w:p>
    <w:p w:rsidR="006567A8" w:rsidRDefault="00000000">
      <w:pPr>
        <w:jc w:val="center"/>
        <w:rPr>
          <w:rFonts w:hAnsi="宋体" w:cs="宋体"/>
          <w:color w:val="333333"/>
          <w:kern w:val="0"/>
        </w:rPr>
      </w:pPr>
      <w:r>
        <w:rPr>
          <w:noProof/>
        </w:rPr>
        <w:lastRenderedPageBreak/>
        <w:drawing>
          <wp:inline distT="0" distB="0" distL="0" distR="0">
            <wp:extent cx="5274310" cy="3957320"/>
            <wp:effectExtent l="19050" t="19050" r="2159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（二）依申请公开情况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对全区43个考核单位进行4轮暗访，8月组织各单位工作人员分批开展依申请公开培训，对暗访和实际工作中出现的问题答疑解惑。同时，依照《政府信息依申请公开工作规范》梳理答复文书，督促指导各单位熟练掌握。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>
        <w:rPr>
          <w:rFonts w:ascii="仿宋_GB2312" w:eastAsia="仿宋_GB2312" w:hAnsi="宋体" w:cs="宋体"/>
          <w:kern w:val="0"/>
          <w:sz w:val="32"/>
          <w:szCs w:val="32"/>
        </w:rPr>
        <w:t>022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年全区共受理政府信息公开申请</w:t>
      </w:r>
      <w:r>
        <w:rPr>
          <w:rFonts w:ascii="仿宋_GB2312" w:eastAsia="仿宋_GB2312" w:hAnsi="宋体" w:cs="宋体"/>
          <w:kern w:val="0"/>
          <w:sz w:val="32"/>
          <w:szCs w:val="32"/>
        </w:rPr>
        <w:t>408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件，内容主要涉及征地拆迁、房屋补偿安置等方面。因依申请公开引发的行政复议案件</w:t>
      </w:r>
      <w:r>
        <w:rPr>
          <w:rFonts w:ascii="仿宋_GB2312" w:eastAsia="仿宋_GB2312" w:hAnsi="宋体" w:cs="宋体"/>
          <w:kern w:val="0"/>
          <w:sz w:val="32"/>
          <w:szCs w:val="32"/>
        </w:rPr>
        <w:t>20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件、行政诉讼案件</w:t>
      </w:r>
      <w:r>
        <w:rPr>
          <w:rFonts w:ascii="仿宋_GB2312" w:eastAsia="仿宋_GB2312" w:hAnsi="宋体" w:cs="宋体"/>
          <w:kern w:val="0"/>
          <w:sz w:val="32"/>
          <w:szCs w:val="32"/>
        </w:rPr>
        <w:t>8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件。</w:t>
      </w:r>
    </w:p>
    <w:p w:rsidR="006567A8" w:rsidRDefault="00000000">
      <w:pPr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2393950" cy="1527175"/>
            <wp:effectExtent l="19050" t="19050" r="25400" b="158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217" cy="15300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 w:hAnsi="宋体" w:cs="宋体" w:hint="eastAsia"/>
          <w:noProof/>
          <w:kern w:val="0"/>
          <w:sz w:val="32"/>
          <w:szCs w:val="32"/>
        </w:rPr>
        <w:drawing>
          <wp:inline distT="0" distB="0" distL="0" distR="0">
            <wp:extent cx="2727960" cy="1529080"/>
            <wp:effectExtent l="19050" t="19050" r="15240" b="139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691" cy="15451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autoSpaceDN w:val="0"/>
        <w:ind w:firstLineChars="200" w:firstLine="640"/>
        <w:jc w:val="left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/>
          <w:kern w:val="0"/>
          <w:sz w:val="32"/>
          <w:szCs w:val="32"/>
        </w:rPr>
        <w:t>2022年政府信息公开申请办结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4</w:t>
      </w:r>
      <w:r>
        <w:rPr>
          <w:rFonts w:ascii="仿宋_GB2312" w:eastAsia="仿宋_GB2312" w:hAnsi="宋体" w:cs="宋体"/>
          <w:kern w:val="0"/>
          <w:sz w:val="32"/>
          <w:szCs w:val="32"/>
        </w:rPr>
        <w:t>07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件</w:t>
      </w:r>
      <w:r>
        <w:rPr>
          <w:rFonts w:ascii="仿宋_GB2312" w:eastAsia="仿宋_GB2312" w:hAnsi="宋体" w:cs="宋体"/>
          <w:kern w:val="0"/>
          <w:sz w:val="32"/>
          <w:szCs w:val="32"/>
        </w:rPr>
        <w:t>，予以公开200件，部分</w:t>
      </w:r>
      <w:r>
        <w:rPr>
          <w:rFonts w:ascii="仿宋_GB2312" w:eastAsia="仿宋_GB2312" w:hAnsi="宋体" w:cs="宋体"/>
          <w:kern w:val="0"/>
          <w:sz w:val="32"/>
          <w:szCs w:val="32"/>
        </w:rPr>
        <w:lastRenderedPageBreak/>
        <w:t>公开38件，不予公开24件，无法提供108件，</w:t>
      </w:r>
      <w:proofErr w:type="gramStart"/>
      <w:r>
        <w:rPr>
          <w:rFonts w:ascii="仿宋_GB2312" w:eastAsia="仿宋_GB2312" w:hAnsi="宋体" w:cs="宋体"/>
          <w:kern w:val="0"/>
          <w:sz w:val="32"/>
          <w:szCs w:val="32"/>
        </w:rPr>
        <w:t>不予处理</w:t>
      </w:r>
      <w:proofErr w:type="gramEnd"/>
      <w:r>
        <w:rPr>
          <w:rFonts w:ascii="仿宋_GB2312" w:eastAsia="仿宋_GB2312" w:hAnsi="宋体" w:cs="宋体"/>
          <w:kern w:val="0"/>
          <w:sz w:val="32"/>
          <w:szCs w:val="32"/>
        </w:rPr>
        <w:t>9件，其他</w:t>
      </w:r>
      <w:r>
        <w:rPr>
          <w:rFonts w:ascii="仿宋_GB2312" w:eastAsia="仿宋_GB2312" w:hAnsi="宋体" w:cs="宋体" w:hint="eastAsia"/>
          <w:kern w:val="0"/>
          <w:sz w:val="32"/>
          <w:szCs w:val="32"/>
        </w:rPr>
        <w:t>2</w:t>
      </w:r>
      <w:r>
        <w:rPr>
          <w:rFonts w:ascii="仿宋_GB2312" w:eastAsia="仿宋_GB2312" w:hAnsi="宋体" w:cs="宋体"/>
          <w:kern w:val="0"/>
          <w:sz w:val="32"/>
          <w:szCs w:val="32"/>
        </w:rPr>
        <w:t>8件。</w:t>
      </w:r>
    </w:p>
    <w:p w:rsidR="006567A8" w:rsidRDefault="00000000">
      <w:pPr>
        <w:ind w:firstLineChars="200" w:firstLine="420"/>
        <w:jc w:val="center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2152650" cy="1861820"/>
            <wp:effectExtent l="19050" t="19050" r="19050" b="2413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62893" cy="18710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（三）政府信息管理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="641"/>
        <w:rPr>
          <w:rFonts w:ascii="仿宋_GB2312" w:eastAsia="仿宋_GB2312" w:hAnsi="宋体" w:cs="宋体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</w:rPr>
        <w:t>2022年，我区加强政府信息管理工作，按照上级要求集中、规范公开全区五年内22件行政规范性文件，及时对规范性文件进行清理，实现全区规范性文件数据库动态管理，对全区政策性文件进行排查，完成有效性标注，并动态监控、实时调整。</w:t>
      </w:r>
    </w:p>
    <w:p w:rsidR="006567A8" w:rsidRDefault="00000000">
      <w:r>
        <w:rPr>
          <w:rFonts w:hint="eastAsia"/>
          <w:noProof/>
        </w:rPr>
        <w:drawing>
          <wp:inline distT="0" distB="0" distL="0" distR="0">
            <wp:extent cx="5615940" cy="3254375"/>
            <wp:effectExtent l="19050" t="19050" r="22860" b="222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54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（四）政府信息公开平台建设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lastRenderedPageBreak/>
        <w:t>2022年对网站首页及政务公开平台改版升级，在全市统一建设政策文件发布平台、政策解读等13个专题基础上，继续对政务公开频道首页优化提升，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梳理“五公开”内容，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对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机构职能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、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规划计划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、</w:t>
      </w:r>
      <w:proofErr w:type="gramStart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稳岗就业</w:t>
      </w:r>
      <w:proofErr w:type="gramEnd"/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等10个专题特色化建设。政府公报专题同步优化，对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五年内2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7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期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历史公报进行入库管理，关联对应政策文件，检索功能升级，确保政策文件精准对应相关期数政府公报。</w:t>
      </w:r>
    </w:p>
    <w:p w:rsidR="006567A8" w:rsidRDefault="00000000">
      <w:r>
        <w:rPr>
          <w:rFonts w:hint="eastAsia"/>
          <w:noProof/>
        </w:rPr>
        <w:drawing>
          <wp:inline distT="0" distB="0" distL="0" distR="0">
            <wp:extent cx="5615940" cy="2882900"/>
            <wp:effectExtent l="19050" t="19050" r="22860" b="1270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882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（五）监督保障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3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color w:val="333333"/>
          <w:kern w:val="0"/>
          <w:sz w:val="32"/>
          <w:szCs w:val="32"/>
        </w:rPr>
        <w:t>一是加强业务培训，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5月组织全区开展新《条例》宣传周活动，下发学习资料包，确保工作人员培训全覆盖；8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-9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月组织进行集中办公轮训，12月召开线上会议，讲解2022年政务公开考核事项以及网站操作流程。</w:t>
      </w:r>
      <w:r>
        <w:rPr>
          <w:rFonts w:ascii="仿宋_GB2312" w:eastAsia="仿宋_GB2312" w:hAnsi="宋体" w:cs="宋体" w:hint="eastAsia"/>
          <w:b/>
          <w:bCs/>
          <w:color w:val="333333"/>
          <w:kern w:val="0"/>
          <w:sz w:val="32"/>
          <w:szCs w:val="32"/>
        </w:rPr>
        <w:t>二是开展专项督查，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每季度检查全区政务公开工作存在的问题并开展“回头看”，对问题台账整改销号。</w:t>
      </w:r>
      <w:r>
        <w:rPr>
          <w:rFonts w:ascii="仿宋_GB2312" w:eastAsia="仿宋_GB2312" w:hAnsi="宋体" w:cs="宋体" w:hint="eastAsia"/>
          <w:b/>
          <w:bCs/>
          <w:color w:val="333333"/>
          <w:kern w:val="0"/>
          <w:sz w:val="32"/>
          <w:szCs w:val="32"/>
        </w:rPr>
        <w:t>三是继续开展社会评议，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邀请市民代表和律师代表列席区政府第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20次常务会议，听取全区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2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022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年度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政务公开工作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成效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接受社会公众监督评议。</w:t>
      </w:r>
    </w:p>
    <w:p w:rsidR="006567A8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6215" cy="2044700"/>
            <wp:effectExtent l="19050" t="19050" r="19685" b="127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44" b="6716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044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="480"/>
        <w:rPr>
          <w:rFonts w:ascii="黑体" w:eastAsia="黑体" w:hAnsi="黑体" w:cs="宋体"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二、主动公开政府信息情况</w:t>
      </w:r>
    </w:p>
    <w:p w:rsidR="006567A8" w:rsidRDefault="006567A8">
      <w:pPr>
        <w:widowControl/>
        <w:shd w:val="clear" w:color="auto" w:fill="FFFFFF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tbl>
      <w:tblPr>
        <w:tblW w:w="97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5"/>
        <w:gridCol w:w="2435"/>
        <w:gridCol w:w="2435"/>
        <w:gridCol w:w="2435"/>
      </w:tblGrid>
      <w:tr w:rsidR="006567A8">
        <w:trPr>
          <w:trHeight w:val="340"/>
          <w:jc w:val="center"/>
        </w:trPr>
        <w:tc>
          <w:tcPr>
            <w:tcW w:w="974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第二十条第（一）项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2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本年</w:t>
            </w:r>
            <w:r>
              <w:rPr>
                <w:rFonts w:ascii="仿宋_GB2312" w:eastAsia="仿宋_GB2312" w:hAnsi="宋体" w:cs="Calibri" w:hint="eastAsia"/>
                <w:kern w:val="0"/>
                <w:sz w:val="32"/>
                <w:szCs w:val="32"/>
              </w:rPr>
              <w:t>制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发件</w:t>
            </w:r>
            <w:r>
              <w:rPr>
                <w:rFonts w:ascii="仿宋_GB2312" w:eastAsia="仿宋_GB2312" w:hAnsi="宋体" w:cs="Calibri" w:hint="eastAsia"/>
                <w:kern w:val="0"/>
                <w:sz w:val="32"/>
                <w:szCs w:val="32"/>
              </w:rPr>
              <w:t>数</w:t>
            </w:r>
          </w:p>
        </w:tc>
        <w:tc>
          <w:tcPr>
            <w:tcW w:w="2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本年废止件数</w:t>
            </w:r>
          </w:p>
        </w:tc>
        <w:tc>
          <w:tcPr>
            <w:tcW w:w="24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现行有效件</w:t>
            </w:r>
            <w:r>
              <w:rPr>
                <w:rFonts w:ascii="仿宋_GB2312" w:eastAsia="仿宋_GB2312" w:hAnsi="宋体" w:cs="Calibri" w:hint="eastAsia"/>
                <w:kern w:val="0"/>
                <w:sz w:val="32"/>
                <w:szCs w:val="32"/>
              </w:rPr>
              <w:t>数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规章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Calibri" w:cs="Calibri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行政规范性文件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0</w:t>
            </w:r>
          </w:p>
        </w:tc>
        <w:tc>
          <w:tcPr>
            <w:tcW w:w="24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Calibri" w:cs="Calibri" w:hint="eastAsia"/>
                <w:kern w:val="0"/>
                <w:sz w:val="32"/>
                <w:szCs w:val="32"/>
              </w:rPr>
              <w:t>3</w:t>
            </w:r>
          </w:p>
        </w:tc>
      </w:tr>
      <w:tr w:rsidR="006567A8">
        <w:trPr>
          <w:trHeight w:val="340"/>
          <w:jc w:val="center"/>
        </w:trPr>
        <w:tc>
          <w:tcPr>
            <w:tcW w:w="97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第二十条第（五）项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本年处理决定数量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行政许可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Calibri" w:cs="Calibri" w:hint="eastAsia"/>
                <w:kern w:val="0"/>
                <w:sz w:val="32"/>
                <w:szCs w:val="32"/>
              </w:rPr>
              <w:t>53086</w:t>
            </w:r>
          </w:p>
        </w:tc>
      </w:tr>
      <w:tr w:rsidR="006567A8">
        <w:trPr>
          <w:trHeight w:val="340"/>
          <w:jc w:val="center"/>
        </w:trPr>
        <w:tc>
          <w:tcPr>
            <w:tcW w:w="97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第二十条第（六）项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本年处理决定数量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行政处罚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1602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行政强制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6</w:t>
            </w:r>
          </w:p>
        </w:tc>
      </w:tr>
      <w:tr w:rsidR="006567A8">
        <w:trPr>
          <w:trHeight w:val="340"/>
          <w:jc w:val="center"/>
        </w:trPr>
        <w:tc>
          <w:tcPr>
            <w:tcW w:w="974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6D9F1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第二十条第（八）项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信息内容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本年收费金额（单位：万元）</w:t>
            </w:r>
          </w:p>
        </w:tc>
      </w:tr>
      <w:tr w:rsidR="006567A8">
        <w:trPr>
          <w:trHeight w:val="340"/>
          <w:jc w:val="center"/>
        </w:trPr>
        <w:tc>
          <w:tcPr>
            <w:tcW w:w="24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行政事业性收费</w:t>
            </w:r>
          </w:p>
        </w:tc>
        <w:tc>
          <w:tcPr>
            <w:tcW w:w="7305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55556.88</w:t>
            </w:r>
          </w:p>
        </w:tc>
      </w:tr>
    </w:tbl>
    <w:p w:rsidR="006567A8" w:rsidRDefault="006567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67A8" w:rsidRDefault="00000000">
      <w:pPr>
        <w:widowControl/>
        <w:shd w:val="clear" w:color="auto" w:fill="FFFFFF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lastRenderedPageBreak/>
        <w:t>三、收到和处理政府信息公开申请情况</w:t>
      </w:r>
    </w:p>
    <w:tbl>
      <w:tblPr>
        <w:tblW w:w="97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7"/>
        <w:gridCol w:w="1074"/>
        <w:gridCol w:w="3126"/>
        <w:gridCol w:w="691"/>
        <w:gridCol w:w="681"/>
        <w:gridCol w:w="678"/>
        <w:gridCol w:w="678"/>
        <w:gridCol w:w="678"/>
        <w:gridCol w:w="681"/>
        <w:gridCol w:w="694"/>
      </w:tblGrid>
      <w:tr w:rsidR="006567A8">
        <w:trPr>
          <w:jc w:val="center"/>
        </w:trPr>
        <w:tc>
          <w:tcPr>
            <w:tcW w:w="4916" w:type="dxa"/>
            <w:gridSpan w:val="3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楷体" w:cs="宋体" w:hint="eastAsia"/>
                <w:kern w:val="0"/>
                <w:sz w:val="32"/>
                <w:szCs w:val="32"/>
              </w:rPr>
              <w:t>（本列数据的勾</w:t>
            </w:r>
            <w:proofErr w:type="gramStart"/>
            <w:r>
              <w:rPr>
                <w:rFonts w:ascii="仿宋_GB2312" w:eastAsia="仿宋_GB2312" w:hAnsi="楷体" w:cs="宋体" w:hint="eastAsia"/>
                <w:kern w:val="0"/>
                <w:sz w:val="32"/>
                <w:szCs w:val="32"/>
              </w:rPr>
              <w:t>稽</w:t>
            </w:r>
            <w:proofErr w:type="gramEnd"/>
            <w:r>
              <w:rPr>
                <w:rFonts w:ascii="仿宋_GB2312" w:eastAsia="仿宋_GB2312" w:hAnsi="楷体" w:cs="宋体" w:hint="eastAsia"/>
                <w:kern w:val="0"/>
                <w:sz w:val="32"/>
                <w:szCs w:val="32"/>
              </w:rPr>
              <w:t>关系为：第一项加第二项之和，等于第三项加第四项之和）</w:t>
            </w:r>
          </w:p>
        </w:tc>
        <w:tc>
          <w:tcPr>
            <w:tcW w:w="4832" w:type="dxa"/>
            <w:gridSpan w:val="7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申请人情况</w:t>
            </w:r>
          </w:p>
        </w:tc>
      </w:tr>
      <w:tr w:rsidR="006567A8">
        <w:trPr>
          <w:jc w:val="center"/>
        </w:trPr>
        <w:tc>
          <w:tcPr>
            <w:tcW w:w="0" w:type="auto"/>
            <w:gridSpan w:val="3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694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自然人</w:t>
            </w:r>
          </w:p>
        </w:tc>
        <w:tc>
          <w:tcPr>
            <w:tcW w:w="3441" w:type="dxa"/>
            <w:gridSpan w:val="5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法人或其他组织</w:t>
            </w:r>
          </w:p>
        </w:tc>
        <w:tc>
          <w:tcPr>
            <w:tcW w:w="697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总计</w:t>
            </w:r>
          </w:p>
        </w:tc>
      </w:tr>
      <w:tr w:rsidR="006567A8">
        <w:trPr>
          <w:jc w:val="center"/>
        </w:trPr>
        <w:tc>
          <w:tcPr>
            <w:tcW w:w="0" w:type="auto"/>
            <w:gridSpan w:val="3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694" w:type="dxa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商业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企业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科研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机构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社会公益组织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法律服务机构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其他</w:t>
            </w:r>
          </w:p>
        </w:tc>
        <w:tc>
          <w:tcPr>
            <w:tcW w:w="697" w:type="dxa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</w:tr>
      <w:tr w:rsidR="006567A8">
        <w:trPr>
          <w:jc w:val="center"/>
        </w:trPr>
        <w:tc>
          <w:tcPr>
            <w:tcW w:w="4916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一、本年新收政府信息公开申请数量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388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6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399</w:t>
            </w:r>
          </w:p>
        </w:tc>
      </w:tr>
      <w:tr w:rsidR="006567A8">
        <w:trPr>
          <w:jc w:val="center"/>
        </w:trPr>
        <w:tc>
          <w:tcPr>
            <w:tcW w:w="4916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二、上年结转政府信息公开申请数量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9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9</w:t>
            </w:r>
          </w:p>
        </w:tc>
      </w:tr>
      <w:tr w:rsidR="006567A8">
        <w:trPr>
          <w:jc w:val="center"/>
        </w:trPr>
        <w:tc>
          <w:tcPr>
            <w:tcW w:w="766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三、本年度办理结果</w:t>
            </w:r>
          </w:p>
        </w:tc>
        <w:tc>
          <w:tcPr>
            <w:tcW w:w="4150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（一）予以公开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196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201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4150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（二）部分公开</w:t>
            </w:r>
            <w:r>
              <w:rPr>
                <w:rFonts w:ascii="仿宋_GB2312" w:eastAsia="仿宋_GB2312" w:hAnsi="楷体" w:cs="宋体" w:hint="eastAsia"/>
                <w:kern w:val="0"/>
                <w:sz w:val="32"/>
                <w:szCs w:val="32"/>
              </w:rPr>
              <w:t>（区分处理的，只计这一情形，不计其他情形）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39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39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（三）不予公开</w:t>
            </w: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1.属于国家秘密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2.其他法律行政法规禁止公开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3.危及“三安全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一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稳定”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4.保护第三方合法权益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8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8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tabs>
                <w:tab w:val="right" w:pos="3095"/>
              </w:tabs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5.属于三类内部事务信息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ab/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6.属于四类过程性信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lastRenderedPageBreak/>
              <w:t>息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lastRenderedPageBreak/>
              <w:t>2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7.属于行政执法案卷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8.属于行政查询事项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（四）无法提供</w:t>
            </w: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1.本机关不掌握相关政府信息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98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103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2.没有现成信息需要另行制作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3.补正后申请内容仍不明确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（五）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不予处理</w:t>
            </w:r>
            <w:proofErr w:type="gramEnd"/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1.信访举报投诉类申请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2.重复申请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3.要求提供公开出版物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4.无正当理由大量反复申请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trHeight w:val="779"/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5.要求行政机关确认或重新出具已获取信息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941" w:type="dxa"/>
            <w:vMerge w:val="restart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（六）其他处理</w:t>
            </w: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1.申请人无正当理由逾期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不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补正、行政机关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不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再处理其政府信息公开申请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2.申请人逾期未按收费通知要求缴纳费用、行政机关</w:t>
            </w:r>
            <w:proofErr w:type="gramStart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不</w:t>
            </w:r>
            <w:proofErr w:type="gramEnd"/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再处理其政府信息公开申</w:t>
            </w: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lastRenderedPageBreak/>
              <w:t>请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lastRenderedPageBreak/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3209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3.其他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25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26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4150" w:type="dxa"/>
            <w:gridSpan w:val="2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（七）总计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396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6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407</w:t>
            </w:r>
          </w:p>
        </w:tc>
      </w:tr>
      <w:tr w:rsidR="006567A8">
        <w:trPr>
          <w:jc w:val="center"/>
        </w:trPr>
        <w:tc>
          <w:tcPr>
            <w:tcW w:w="4916" w:type="dxa"/>
            <w:gridSpan w:val="3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四、结转下年度继续办理</w:t>
            </w:r>
          </w:p>
        </w:tc>
        <w:tc>
          <w:tcPr>
            <w:tcW w:w="694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8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0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97" w:type="dxa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</w:tr>
    </w:tbl>
    <w:p w:rsidR="006567A8" w:rsidRDefault="006567A8">
      <w:pPr>
        <w:widowControl/>
        <w:shd w:val="clear" w:color="auto" w:fill="FFFFFF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</w:p>
    <w:p w:rsidR="006567A8" w:rsidRDefault="00000000">
      <w:pPr>
        <w:widowControl/>
        <w:numPr>
          <w:ilvl w:val="0"/>
          <w:numId w:val="1"/>
        </w:numPr>
        <w:shd w:val="clear" w:color="auto" w:fill="FFFFFF"/>
        <w:ind w:firstLine="480"/>
        <w:rPr>
          <w:rFonts w:ascii="黑体" w:eastAsia="黑体" w:hAnsi="黑体" w:cs="宋体"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政府信息公开行政复议、行政诉讼情况</w:t>
      </w:r>
    </w:p>
    <w:tbl>
      <w:tblPr>
        <w:tblW w:w="9748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0"/>
        <w:gridCol w:w="650"/>
        <w:gridCol w:w="650"/>
        <w:gridCol w:w="650"/>
        <w:gridCol w:w="650"/>
        <w:gridCol w:w="649"/>
        <w:gridCol w:w="649"/>
        <w:gridCol w:w="650"/>
        <w:gridCol w:w="650"/>
        <w:gridCol w:w="650"/>
        <w:gridCol w:w="650"/>
        <w:gridCol w:w="650"/>
        <w:gridCol w:w="650"/>
        <w:gridCol w:w="650"/>
        <w:gridCol w:w="650"/>
      </w:tblGrid>
      <w:tr w:rsidR="006567A8">
        <w:trPr>
          <w:jc w:val="center"/>
        </w:trPr>
        <w:tc>
          <w:tcPr>
            <w:tcW w:w="321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行政复议</w:t>
            </w:r>
          </w:p>
        </w:tc>
        <w:tc>
          <w:tcPr>
            <w:tcW w:w="642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行政诉讼</w:t>
            </w:r>
          </w:p>
        </w:tc>
      </w:tr>
      <w:tr w:rsidR="006567A8">
        <w:trPr>
          <w:trHeight w:val="90"/>
          <w:jc w:val="center"/>
        </w:trPr>
        <w:tc>
          <w:tcPr>
            <w:tcW w:w="64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结果维持</w:t>
            </w:r>
          </w:p>
        </w:tc>
        <w:tc>
          <w:tcPr>
            <w:tcW w:w="64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纠正</w:t>
            </w:r>
          </w:p>
        </w:tc>
        <w:tc>
          <w:tcPr>
            <w:tcW w:w="6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其他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</w:tc>
        <w:tc>
          <w:tcPr>
            <w:tcW w:w="6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尚未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审结</w:t>
            </w:r>
          </w:p>
        </w:tc>
        <w:tc>
          <w:tcPr>
            <w:tcW w:w="6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总计</w:t>
            </w:r>
          </w:p>
        </w:tc>
        <w:tc>
          <w:tcPr>
            <w:tcW w:w="32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未经复议直接起诉</w:t>
            </w:r>
          </w:p>
        </w:tc>
        <w:tc>
          <w:tcPr>
            <w:tcW w:w="3215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复议后起诉</w:t>
            </w:r>
          </w:p>
        </w:tc>
      </w:tr>
      <w:tr w:rsidR="006567A8">
        <w:trPr>
          <w:jc w:val="center"/>
        </w:trPr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567A8" w:rsidRDefault="006567A8">
            <w:pPr>
              <w:widowControl/>
              <w:spacing w:line="500" w:lineRule="exact"/>
              <w:jc w:val="left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维持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纠正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其他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尚未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审结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总计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维持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结果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纠正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color w:val="000000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其他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结果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尚未</w:t>
            </w:r>
          </w:p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审结</w:t>
            </w:r>
          </w:p>
        </w:tc>
        <w:tc>
          <w:tcPr>
            <w:tcW w:w="6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color w:val="000000"/>
                <w:kern w:val="0"/>
                <w:sz w:val="32"/>
                <w:szCs w:val="32"/>
              </w:rPr>
              <w:t>总计</w:t>
            </w:r>
          </w:p>
        </w:tc>
      </w:tr>
      <w:tr w:rsidR="006567A8">
        <w:trPr>
          <w:trHeight w:val="672"/>
          <w:jc w:val="center"/>
        </w:trPr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12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5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3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20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4</w:t>
            </w:r>
          </w:p>
        </w:tc>
        <w:tc>
          <w:tcPr>
            <w:tcW w:w="6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2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7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0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  <w:tc>
          <w:tcPr>
            <w:tcW w:w="6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567A8" w:rsidRDefault="00000000">
            <w:pPr>
              <w:widowControl/>
              <w:spacing w:line="500" w:lineRule="exact"/>
              <w:jc w:val="center"/>
              <w:rPr>
                <w:rFonts w:ascii="仿宋_GB2312" w:eastAsia="仿宋_GB2312" w:hAnsi="宋体" w:cs="宋体"/>
                <w:kern w:val="0"/>
                <w:sz w:val="32"/>
                <w:szCs w:val="32"/>
              </w:rPr>
            </w:pPr>
            <w:r>
              <w:rPr>
                <w:rFonts w:ascii="仿宋_GB2312" w:eastAsia="仿宋_GB2312" w:hAnsi="宋体" w:cs="宋体" w:hint="eastAsia"/>
                <w:kern w:val="0"/>
                <w:sz w:val="32"/>
                <w:szCs w:val="32"/>
              </w:rPr>
              <w:t>1</w:t>
            </w:r>
          </w:p>
        </w:tc>
      </w:tr>
    </w:tbl>
    <w:p w:rsidR="006567A8" w:rsidRDefault="006567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黑体" w:eastAsia="黑体" w:hAnsi="黑体" w:cs="宋体"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五、存在的主要问题及改进情况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黑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总体来看，</w:t>
      </w:r>
      <w:r>
        <w:rPr>
          <w:rFonts w:ascii="仿宋_GB2312" w:eastAsia="仿宋_GB2312" w:hAnsi="黑体" w:cs="宋体"/>
          <w:color w:val="333333"/>
          <w:kern w:val="0"/>
          <w:sz w:val="32"/>
          <w:szCs w:val="32"/>
        </w:rPr>
        <w:t>2022年</w:t>
      </w: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我区</w:t>
      </w:r>
      <w:r>
        <w:rPr>
          <w:rFonts w:ascii="仿宋_GB2312" w:eastAsia="仿宋_GB2312" w:hAnsi="黑体" w:cs="宋体"/>
          <w:color w:val="333333"/>
          <w:kern w:val="0"/>
          <w:sz w:val="32"/>
          <w:szCs w:val="32"/>
        </w:rPr>
        <w:t>政务公开工作质量和实效不</w:t>
      </w: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断提升，但对照上级全面推进政务公开的决策部署，对照人民群众对政务公开的新期待、新要求，仍然存在不足。一是全区政策文件的解读质量需提升，解读内容大部分局限于政策文件，且部分解读内容与原文雷同，缺少对政策文件的拓展性解读。二是全区依申请公开答复规范化水平需提升，办理流程未形成制度化，答复内容不规范，仍存在超期答复情况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仿宋_GB2312" w:eastAsia="仿宋_GB2312" w:hAnsi="黑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下一步，我区将加强和改进政府信息公开工作，努力为打造更加阳光透明、更具权威公信的服务型政府、法治政府提供有力保障。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仿宋_GB2312" w:eastAsia="仿宋_GB2312" w:hAnsi="黑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lastRenderedPageBreak/>
        <w:t>一是加强政策解读审查要求。属性为主动公开的政策文件已要求起草部门从政策背景、决策依据、出台目的、重要举措等方面改进解读材料；接下来解读要面向该政策文件的施行对象，对可能存在的疑惑进行解答，政策文件中专业性较强的词语要用通俗语言进行释义，确保群众真的读懂文件、理解文件。同时对涉及面广、意义重大的文件，增加政策简明问答、主要领导人解读、专家解读等文稿格式，制作图文、视频、</w:t>
      </w:r>
      <w:proofErr w:type="gramStart"/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动漫等</w:t>
      </w:r>
      <w:proofErr w:type="gramEnd"/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多样化形式解读。</w:t>
      </w:r>
    </w:p>
    <w:p w:rsidR="006567A8" w:rsidRDefault="00000000">
      <w:pPr>
        <w:widowControl/>
        <w:shd w:val="clear" w:color="auto" w:fill="FFFFFF"/>
        <w:spacing w:line="580" w:lineRule="exact"/>
        <w:ind w:firstLine="480"/>
        <w:rPr>
          <w:rFonts w:ascii="仿宋_GB2312" w:eastAsia="仿宋_GB2312" w:hAnsi="黑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二是继续提升政府信息公开申请答复水平。2</w:t>
      </w:r>
      <w:r>
        <w:rPr>
          <w:rFonts w:ascii="仿宋_GB2312" w:eastAsia="仿宋_GB2312" w:hAnsi="黑体" w:cs="宋体"/>
          <w:color w:val="333333"/>
          <w:kern w:val="0"/>
          <w:sz w:val="32"/>
          <w:szCs w:val="32"/>
        </w:rPr>
        <w:t>022</w:t>
      </w: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年已对全区各单位开展四轮依申请公开暗访工作，并组织集中办公轮训。下一步将建立健全政府信息公开申请</w:t>
      </w:r>
      <w:proofErr w:type="gramStart"/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办理全</w:t>
      </w:r>
      <w:proofErr w:type="gramEnd"/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流程工作制度，加强部门协作，防范法律风险，规范全区政府信息公开申请办理。有针对性地开展小范围培训；以情景演示的形式，持续性、多渠道、多角色开展政府信息依申请公开暗访工作，对于每次出现的问题，全区范围内通报，确保各级各部门避免再次出现此类问题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黑体" w:eastAsia="黑体" w:hAnsi="黑体" w:cs="宋体"/>
          <w:color w:val="333333"/>
          <w:kern w:val="0"/>
          <w:sz w:val="32"/>
          <w:szCs w:val="32"/>
        </w:rPr>
      </w:pPr>
      <w:r>
        <w:rPr>
          <w:rFonts w:ascii="黑体" w:eastAsia="黑体" w:hAnsi="黑体" w:cs="宋体" w:hint="eastAsia"/>
          <w:color w:val="333333"/>
          <w:kern w:val="0"/>
          <w:sz w:val="32"/>
          <w:szCs w:val="32"/>
        </w:rPr>
        <w:t>六、其他需要报告的事项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（一）收取信息处理费的情况。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2022年全区办理政府信息公开申请过程中，按照《政府信息公开信息处理费管理办法》要求，未收取信息处理费。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jc w:val="left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（二）落实上级年度政务公开工作要点情况。</w:t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3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color w:val="000000" w:themeColor="text1"/>
          <w:kern w:val="0"/>
          <w:sz w:val="32"/>
          <w:szCs w:val="32"/>
        </w:rPr>
        <w:t>一是持续深化重点领域信息公开。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围绕区委、区政府重大决策部署，扎实做好政府工作报告和民生实事工作进展、财政预决算、“双随机</w:t>
      </w:r>
      <w:proofErr w:type="gramStart"/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一</w:t>
      </w:r>
      <w:proofErr w:type="gramEnd"/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公开”、重大建设项目批准和实施、优化营商环境、社会公益事业建设等领域的政府信息公开。针对政府工作报</w:t>
      </w:r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lastRenderedPageBreak/>
        <w:t>告和民生实事落实公开情况开展专项督查，在区政府网站按照季度及时公开重点项目工作进展落实，按月定期公开民生实事</w:t>
      </w:r>
      <w:proofErr w:type="gramStart"/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完成成效</w:t>
      </w:r>
      <w:proofErr w:type="gramEnd"/>
      <w:r>
        <w:rPr>
          <w:rFonts w:ascii="仿宋_GB2312" w:eastAsia="仿宋_GB2312" w:hAnsi="宋体" w:cs="宋体" w:hint="eastAsia"/>
          <w:color w:val="000000" w:themeColor="text1"/>
          <w:kern w:val="0"/>
          <w:sz w:val="32"/>
          <w:szCs w:val="32"/>
        </w:rPr>
        <w:t>等相关信息。</w:t>
      </w:r>
    </w:p>
    <w:p w:rsidR="006567A8" w:rsidRDefault="00000000">
      <w:pPr>
        <w:rPr>
          <w:rFonts w:ascii="仿宋_GB2312" w:eastAsia="仿宋_GB2312" w:hAnsi="宋体" w:cs="宋体"/>
          <w:color w:val="FF0000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615940" cy="2970530"/>
            <wp:effectExtent l="19050" t="19050" r="22860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705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ind w:firstLineChars="200" w:firstLine="643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color w:val="333333"/>
          <w:kern w:val="0"/>
          <w:sz w:val="32"/>
          <w:szCs w:val="32"/>
        </w:rPr>
        <w:t>二是加大公众参与决策公开力度。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严格落实《济南市人民政府重大行政决策程序规定》，发布区政府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2022年重大行政决策事项目录，建立重大行政决策全生命周期公开专栏，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发布意见征集公告，同时公开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决策草案、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解读说明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等，通过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召开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听证座谈、网络征集等多种形式，广泛听取公众意见。拓展</w:t>
      </w:r>
      <w:proofErr w:type="gramStart"/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政民互动</w:t>
      </w:r>
      <w:proofErr w:type="gramEnd"/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渠道，开设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区长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信箱、意见征集、回应关切等专栏，搭建好政府与群众沟通的桥梁。</w:t>
      </w:r>
      <w:r>
        <w:rPr>
          <w:rFonts w:ascii="仿宋_GB2312" w:eastAsia="仿宋_GB2312" w:hint="eastAsia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ascii="仿宋_GB2312" w:eastAsia="仿宋_GB2312" w:hint="eastAsia"/>
          <w:sz w:val="32"/>
          <w:szCs w:val="32"/>
        </w:rPr>
        <w:t>月份开展了以“公开助力稳经济，共商市中新发展”为主题的第二届“政府开放月”活动，4</w:t>
      </w:r>
      <w:r>
        <w:rPr>
          <w:rFonts w:ascii="仿宋_GB2312" w:eastAsia="仿宋_GB2312"/>
          <w:sz w:val="32"/>
          <w:szCs w:val="32"/>
        </w:rPr>
        <w:t>4场活动近700名群众代表参加</w:t>
      </w:r>
      <w:r>
        <w:rPr>
          <w:rFonts w:ascii="仿宋_GB2312" w:eastAsia="仿宋_GB2312" w:hint="eastAsia"/>
          <w:sz w:val="32"/>
          <w:szCs w:val="32"/>
        </w:rPr>
        <w:t>，</w:t>
      </w:r>
      <w:r>
        <w:rPr>
          <w:rFonts w:ascii="仿宋_GB2312" w:eastAsia="仿宋_GB2312"/>
          <w:sz w:val="32"/>
          <w:szCs w:val="32"/>
        </w:rPr>
        <w:t>收集有效意见建议90余条。</w:t>
      </w:r>
      <w:r>
        <w:rPr>
          <w:rFonts w:ascii="仿宋_GB2312" w:eastAsia="仿宋_GB2312" w:hint="eastAsia"/>
          <w:sz w:val="32"/>
          <w:szCs w:val="32"/>
        </w:rPr>
        <w:t>通过零距离倾听民意、</w:t>
      </w:r>
      <w:proofErr w:type="gramStart"/>
      <w:r>
        <w:rPr>
          <w:rFonts w:ascii="仿宋_GB2312" w:eastAsia="仿宋_GB2312" w:hint="eastAsia"/>
          <w:sz w:val="32"/>
          <w:szCs w:val="32"/>
        </w:rPr>
        <w:t>零时差感受</w:t>
      </w:r>
      <w:proofErr w:type="gramEnd"/>
      <w:r>
        <w:rPr>
          <w:rFonts w:ascii="仿宋_GB2312" w:eastAsia="仿宋_GB2312" w:hint="eastAsia"/>
          <w:sz w:val="32"/>
          <w:szCs w:val="32"/>
        </w:rPr>
        <w:t>民意、零落差</w:t>
      </w:r>
      <w:proofErr w:type="gramStart"/>
      <w:r>
        <w:rPr>
          <w:rFonts w:ascii="仿宋_GB2312" w:eastAsia="仿宋_GB2312" w:hint="eastAsia"/>
          <w:sz w:val="32"/>
          <w:szCs w:val="32"/>
        </w:rPr>
        <w:t>回应民</w:t>
      </w:r>
      <w:proofErr w:type="gramEnd"/>
      <w:r>
        <w:rPr>
          <w:rFonts w:ascii="仿宋_GB2312" w:eastAsia="仿宋_GB2312" w:hint="eastAsia"/>
          <w:sz w:val="32"/>
          <w:szCs w:val="32"/>
        </w:rPr>
        <w:t>需，让更多有见地、有温度的好建议进入决策视野、变成亮点举措，努力打造“市中慧公</w:t>
      </w:r>
      <w:r>
        <w:rPr>
          <w:rFonts w:ascii="仿宋_GB2312" w:eastAsia="仿宋_GB2312" w:hint="eastAsia"/>
          <w:sz w:val="32"/>
          <w:szCs w:val="32"/>
        </w:rPr>
        <w:lastRenderedPageBreak/>
        <w:t>开”品牌新局面。</w:t>
      </w:r>
    </w:p>
    <w:p w:rsidR="006567A8" w:rsidRDefault="00000000">
      <w:pPr>
        <w:jc w:val="left"/>
        <w:rPr>
          <w:rFonts w:ascii="仿宋_GB2312" w:eastAsia="仿宋_GB2312" w:hAnsi="宋体" w:cs="宋体"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noProof/>
          <w:color w:val="000000" w:themeColor="text1"/>
          <w:kern w:val="0"/>
          <w:sz w:val="32"/>
          <w:szCs w:val="32"/>
        </w:rPr>
        <w:drawing>
          <wp:inline distT="0" distB="0" distL="0" distR="0">
            <wp:extent cx="5615940" cy="5431790"/>
            <wp:effectExtent l="19050" t="19050" r="2286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54317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jc w:val="left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（三）政务公开工作创新情况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2022年全区以“组合式”解读优化服务，政策精准推送到位。疫情期间，我区立足政务公开，在全区范围内开展助企</w:t>
      </w:r>
      <w:proofErr w:type="gramStart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纾困政策</w:t>
      </w:r>
      <w:proofErr w:type="gramEnd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解读服务。梳理汇总中央和省市区各级政策文件54件，由区级领导和各部门一把手亲自挂帅，对接走访企业3000余家，解决各企业实际困难159件；打造“直播+政务”专栏，开展人才政策、民生惠企政策、融资减税金融政策等直播解读活动，热门问题现场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lastRenderedPageBreak/>
        <w:t>解读；依托“市中好办事”智慧</w:t>
      </w:r>
      <w:proofErr w:type="gramStart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微服务</w:t>
      </w:r>
      <w:proofErr w:type="gramEnd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平台，打造“政策速递”专栏，包含“读政策、汇指南、解政策、精准配”等4个</w:t>
      </w:r>
      <w:proofErr w:type="gramStart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版块</w:t>
      </w:r>
      <w:proofErr w:type="gramEnd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，向全区5.6万家企业全覆盖推送政策信息2500余条。</w:t>
      </w:r>
    </w:p>
    <w:p w:rsidR="006567A8" w:rsidRDefault="00000000">
      <w:pPr>
        <w:jc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noProof/>
        </w:rPr>
        <w:drawing>
          <wp:inline distT="0" distB="0" distL="0" distR="0">
            <wp:extent cx="5274310" cy="2970530"/>
            <wp:effectExtent l="19050" t="19050" r="21590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05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567A8" w:rsidRDefault="00000000">
      <w:pPr>
        <w:widowControl/>
        <w:shd w:val="clear" w:color="auto" w:fill="FFFFFF"/>
        <w:spacing w:line="580" w:lineRule="exact"/>
        <w:ind w:firstLineChars="200" w:firstLine="640"/>
        <w:jc w:val="left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（四）建议提案办理情况。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jc w:val="left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2</w:t>
      </w:r>
      <w:r>
        <w:rPr>
          <w:rFonts w:ascii="仿宋_GB2312" w:eastAsia="仿宋_GB2312" w:hAnsi="宋体" w:cs="宋体"/>
          <w:color w:val="333333"/>
          <w:kern w:val="0"/>
          <w:sz w:val="32"/>
          <w:szCs w:val="32"/>
        </w:rPr>
        <w:t>022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年省市区“两会”期间，区政府共收到建议提案210件，已全部办结。其中省、市建议提案17件，主办或分办9件，</w:t>
      </w:r>
      <w:proofErr w:type="gramStart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面复率</w:t>
      </w:r>
      <w:proofErr w:type="gramEnd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88.9%，代表满意率100%，会办8件。</w:t>
      </w:r>
      <w:proofErr w:type="gramStart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区建议</w:t>
      </w:r>
      <w:proofErr w:type="gramEnd"/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提案193件，满意或基本满意率100%。截至目前，共采纳代表委员提出的建议145件。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jc w:val="left"/>
        <w:rPr>
          <w:rFonts w:ascii="楷体_GB2312" w:eastAsia="楷体_GB2312" w:hAnsi="宋体" w:cs="宋体"/>
          <w:color w:val="333333"/>
          <w:kern w:val="0"/>
          <w:sz w:val="32"/>
          <w:szCs w:val="32"/>
        </w:rPr>
      </w:pPr>
      <w:r>
        <w:rPr>
          <w:rFonts w:ascii="楷体_GB2312" w:eastAsia="楷体_GB2312" w:hAnsi="宋体" w:cs="宋体" w:hint="eastAsia"/>
          <w:color w:val="333333"/>
          <w:kern w:val="0"/>
          <w:sz w:val="32"/>
          <w:szCs w:val="32"/>
        </w:rPr>
        <w:t>（五）数据统计需要说明的事项</w:t>
      </w:r>
    </w:p>
    <w:p w:rsidR="006567A8" w:rsidRDefault="00000000">
      <w:pPr>
        <w:widowControl/>
        <w:shd w:val="clear" w:color="auto" w:fill="FFFFFF"/>
        <w:autoSpaceDN w:val="0"/>
        <w:spacing w:line="580" w:lineRule="exact"/>
        <w:ind w:firstLineChars="200" w:firstLine="640"/>
        <w:jc w:val="left"/>
        <w:rPr>
          <w:rFonts w:ascii="仿宋_GB2312" w:eastAsia="仿宋_GB2312" w:hAnsi="黑体" w:cs="宋体"/>
          <w:color w:val="333333"/>
          <w:kern w:val="0"/>
          <w:sz w:val="32"/>
          <w:szCs w:val="32"/>
        </w:rPr>
      </w:pPr>
      <w:r>
        <w:rPr>
          <w:rFonts w:ascii="仿宋_GB2312" w:eastAsia="仿宋_GB2312" w:hAnsi="黑体" w:cs="宋体" w:hint="eastAsia"/>
          <w:color w:val="333333"/>
          <w:kern w:val="0"/>
          <w:sz w:val="32"/>
          <w:szCs w:val="32"/>
        </w:rPr>
        <w:t>收到和处理政府信息公开申请情况中“（六）其他处理”中的“其他”数据为申请人申请信息为村务公开或信息不存在等情况，因此列入其他处理事项。</w:t>
      </w:r>
    </w:p>
    <w:p w:rsidR="006567A8" w:rsidRDefault="006567A8" w:rsidP="008E49AA">
      <w:pPr>
        <w:widowControl/>
        <w:shd w:val="clear" w:color="auto" w:fill="FFFFFF"/>
        <w:autoSpaceDN w:val="0"/>
        <w:jc w:val="left"/>
        <w:rPr>
          <w:rFonts w:ascii="仿宋_GB2312" w:eastAsia="仿宋_GB2312" w:hAnsi="黑体" w:cs="宋体"/>
          <w:color w:val="333333"/>
          <w:kern w:val="0"/>
          <w:sz w:val="32"/>
          <w:szCs w:val="32"/>
        </w:rPr>
      </w:pPr>
    </w:p>
    <w:sectPr w:rsidR="006567A8">
      <w:footerReference w:type="default" r:id="rId19"/>
      <w:pgSz w:w="11906" w:h="16838"/>
      <w:pgMar w:top="1440" w:right="1474" w:bottom="1440" w:left="1588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81A76" w:rsidRDefault="00881A76">
      <w:r>
        <w:separator/>
      </w:r>
    </w:p>
  </w:endnote>
  <w:endnote w:type="continuationSeparator" w:id="0">
    <w:p w:rsidR="00881A76" w:rsidRDefault="00881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enlo">
    <w:altName w:val="Segoe Print"/>
    <w:charset w:val="00"/>
    <w:family w:val="auto"/>
    <w:pitch w:val="default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87777031"/>
      <w:docPartObj>
        <w:docPartGallery w:val="Page Numbers (Bottom of Page)"/>
        <w:docPartUnique/>
      </w:docPartObj>
    </w:sdtPr>
    <w:sdtContent>
      <w:p w:rsidR="00C25AD6" w:rsidRDefault="00C25AD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:rsidR="006567A8" w:rsidRDefault="006567A8">
    <w:pPr>
      <w:pStyle w:val="a3"/>
      <w:jc w:val="center"/>
      <w:rPr>
        <w:rFonts w:ascii="宋体" w:eastAsia="宋体" w:hAnsi="宋体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81A76" w:rsidRDefault="00881A76">
      <w:r>
        <w:separator/>
      </w:r>
    </w:p>
  </w:footnote>
  <w:footnote w:type="continuationSeparator" w:id="0">
    <w:p w:rsidR="00881A76" w:rsidRDefault="00881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B491C7C"/>
    <w:multiLevelType w:val="singleLevel"/>
    <w:tmpl w:val="9B491C7C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13147925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grammar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DdmOTdkNzEwODgxZmY2ZmJmMjM1ZjRiNzY1MTUzZmMifQ=="/>
  </w:docVars>
  <w:rsids>
    <w:rsidRoot w:val="00502C34"/>
    <w:rsid w:val="0000657C"/>
    <w:rsid w:val="00010123"/>
    <w:rsid w:val="00013408"/>
    <w:rsid w:val="0003350B"/>
    <w:rsid w:val="00040E27"/>
    <w:rsid w:val="000456E4"/>
    <w:rsid w:val="00045802"/>
    <w:rsid w:val="000500B1"/>
    <w:rsid w:val="00055AA1"/>
    <w:rsid w:val="0006512C"/>
    <w:rsid w:val="0007442E"/>
    <w:rsid w:val="00077571"/>
    <w:rsid w:val="00077D80"/>
    <w:rsid w:val="000819F3"/>
    <w:rsid w:val="0008660D"/>
    <w:rsid w:val="00087EEC"/>
    <w:rsid w:val="00093033"/>
    <w:rsid w:val="000A251F"/>
    <w:rsid w:val="000A57BF"/>
    <w:rsid w:val="000A78DC"/>
    <w:rsid w:val="000A7C6A"/>
    <w:rsid w:val="000B4F9F"/>
    <w:rsid w:val="000C1FDA"/>
    <w:rsid w:val="001029D3"/>
    <w:rsid w:val="001044A3"/>
    <w:rsid w:val="001116E9"/>
    <w:rsid w:val="00112BD8"/>
    <w:rsid w:val="00121618"/>
    <w:rsid w:val="00121655"/>
    <w:rsid w:val="0012226F"/>
    <w:rsid w:val="00123E53"/>
    <w:rsid w:val="001402D7"/>
    <w:rsid w:val="00145460"/>
    <w:rsid w:val="00152254"/>
    <w:rsid w:val="0015613D"/>
    <w:rsid w:val="00157852"/>
    <w:rsid w:val="001679FF"/>
    <w:rsid w:val="00174CAC"/>
    <w:rsid w:val="00180B4F"/>
    <w:rsid w:val="00182648"/>
    <w:rsid w:val="00185A1F"/>
    <w:rsid w:val="00186365"/>
    <w:rsid w:val="00192D4A"/>
    <w:rsid w:val="00193B41"/>
    <w:rsid w:val="00195385"/>
    <w:rsid w:val="00196721"/>
    <w:rsid w:val="00196BBB"/>
    <w:rsid w:val="001A2CC0"/>
    <w:rsid w:val="001A3A5B"/>
    <w:rsid w:val="001A41F5"/>
    <w:rsid w:val="001B768C"/>
    <w:rsid w:val="001C436D"/>
    <w:rsid w:val="001E108E"/>
    <w:rsid w:val="001E3A4B"/>
    <w:rsid w:val="001F026B"/>
    <w:rsid w:val="001F0A0E"/>
    <w:rsid w:val="001F6BCA"/>
    <w:rsid w:val="002000B3"/>
    <w:rsid w:val="00201909"/>
    <w:rsid w:val="0020221E"/>
    <w:rsid w:val="00203F15"/>
    <w:rsid w:val="002061F7"/>
    <w:rsid w:val="002068C3"/>
    <w:rsid w:val="00210665"/>
    <w:rsid w:val="00210E90"/>
    <w:rsid w:val="00211F6A"/>
    <w:rsid w:val="00230046"/>
    <w:rsid w:val="002338C1"/>
    <w:rsid w:val="00241960"/>
    <w:rsid w:val="002427FC"/>
    <w:rsid w:val="00242D07"/>
    <w:rsid w:val="00243BAF"/>
    <w:rsid w:val="00253CC8"/>
    <w:rsid w:val="00254F2B"/>
    <w:rsid w:val="002713F8"/>
    <w:rsid w:val="00280894"/>
    <w:rsid w:val="00286BF3"/>
    <w:rsid w:val="00286DBA"/>
    <w:rsid w:val="002A6219"/>
    <w:rsid w:val="002A7C31"/>
    <w:rsid w:val="002B58BB"/>
    <w:rsid w:val="002C0E39"/>
    <w:rsid w:val="002D22E8"/>
    <w:rsid w:val="002D3C01"/>
    <w:rsid w:val="002E01DC"/>
    <w:rsid w:val="002F4788"/>
    <w:rsid w:val="002F78AE"/>
    <w:rsid w:val="0031239E"/>
    <w:rsid w:val="00312887"/>
    <w:rsid w:val="00315DDF"/>
    <w:rsid w:val="003320F2"/>
    <w:rsid w:val="00333740"/>
    <w:rsid w:val="00334774"/>
    <w:rsid w:val="00340127"/>
    <w:rsid w:val="00342636"/>
    <w:rsid w:val="00342FA8"/>
    <w:rsid w:val="00344230"/>
    <w:rsid w:val="00354989"/>
    <w:rsid w:val="003611DB"/>
    <w:rsid w:val="00372E47"/>
    <w:rsid w:val="00384B12"/>
    <w:rsid w:val="0039136B"/>
    <w:rsid w:val="00392DAD"/>
    <w:rsid w:val="00396817"/>
    <w:rsid w:val="003A0D30"/>
    <w:rsid w:val="003A5298"/>
    <w:rsid w:val="003B0D89"/>
    <w:rsid w:val="003C1943"/>
    <w:rsid w:val="003E0D06"/>
    <w:rsid w:val="003F2D15"/>
    <w:rsid w:val="003F6F9A"/>
    <w:rsid w:val="003F783F"/>
    <w:rsid w:val="004079C4"/>
    <w:rsid w:val="00411472"/>
    <w:rsid w:val="004162E7"/>
    <w:rsid w:val="00423B81"/>
    <w:rsid w:val="00434D8E"/>
    <w:rsid w:val="00442188"/>
    <w:rsid w:val="00460292"/>
    <w:rsid w:val="004619F1"/>
    <w:rsid w:val="004635B1"/>
    <w:rsid w:val="00463EF5"/>
    <w:rsid w:val="00464B70"/>
    <w:rsid w:val="00464CBD"/>
    <w:rsid w:val="00467BBE"/>
    <w:rsid w:val="0047087D"/>
    <w:rsid w:val="00482874"/>
    <w:rsid w:val="00497DDA"/>
    <w:rsid w:val="004A0294"/>
    <w:rsid w:val="004A6FD6"/>
    <w:rsid w:val="004B3492"/>
    <w:rsid w:val="004B442A"/>
    <w:rsid w:val="004D3C2B"/>
    <w:rsid w:val="004D46DD"/>
    <w:rsid w:val="004D6D24"/>
    <w:rsid w:val="004E03D1"/>
    <w:rsid w:val="004F0AC0"/>
    <w:rsid w:val="00501AE9"/>
    <w:rsid w:val="00502C34"/>
    <w:rsid w:val="0050461C"/>
    <w:rsid w:val="0051099A"/>
    <w:rsid w:val="00511A34"/>
    <w:rsid w:val="00515416"/>
    <w:rsid w:val="00515E7C"/>
    <w:rsid w:val="00516159"/>
    <w:rsid w:val="00531FBB"/>
    <w:rsid w:val="00536BE2"/>
    <w:rsid w:val="00544B38"/>
    <w:rsid w:val="00552F1D"/>
    <w:rsid w:val="0055370B"/>
    <w:rsid w:val="005548EB"/>
    <w:rsid w:val="0055619A"/>
    <w:rsid w:val="00557891"/>
    <w:rsid w:val="0056076F"/>
    <w:rsid w:val="00572627"/>
    <w:rsid w:val="005763D1"/>
    <w:rsid w:val="00583775"/>
    <w:rsid w:val="00591413"/>
    <w:rsid w:val="005A36C3"/>
    <w:rsid w:val="005B2F88"/>
    <w:rsid w:val="005B3E6B"/>
    <w:rsid w:val="005D771E"/>
    <w:rsid w:val="005F021B"/>
    <w:rsid w:val="005F469B"/>
    <w:rsid w:val="00605405"/>
    <w:rsid w:val="0060613E"/>
    <w:rsid w:val="00612182"/>
    <w:rsid w:val="00615E81"/>
    <w:rsid w:val="00621506"/>
    <w:rsid w:val="00621D2B"/>
    <w:rsid w:val="006235ED"/>
    <w:rsid w:val="00623CDF"/>
    <w:rsid w:val="00633C9D"/>
    <w:rsid w:val="0064235C"/>
    <w:rsid w:val="00652855"/>
    <w:rsid w:val="006567A8"/>
    <w:rsid w:val="00666790"/>
    <w:rsid w:val="00666FA6"/>
    <w:rsid w:val="00683E94"/>
    <w:rsid w:val="00690467"/>
    <w:rsid w:val="006A095E"/>
    <w:rsid w:val="006A1109"/>
    <w:rsid w:val="006A3C60"/>
    <w:rsid w:val="006B3A53"/>
    <w:rsid w:val="006B5301"/>
    <w:rsid w:val="006B6ACA"/>
    <w:rsid w:val="006C5C78"/>
    <w:rsid w:val="006D1C72"/>
    <w:rsid w:val="006E0B06"/>
    <w:rsid w:val="006E2A67"/>
    <w:rsid w:val="006F010F"/>
    <w:rsid w:val="007054E7"/>
    <w:rsid w:val="00705FB5"/>
    <w:rsid w:val="00706B0B"/>
    <w:rsid w:val="00712584"/>
    <w:rsid w:val="007144F3"/>
    <w:rsid w:val="0072003C"/>
    <w:rsid w:val="00720DD4"/>
    <w:rsid w:val="00723872"/>
    <w:rsid w:val="00723EFA"/>
    <w:rsid w:val="00723F0A"/>
    <w:rsid w:val="00725D1A"/>
    <w:rsid w:val="007337CE"/>
    <w:rsid w:val="00743D14"/>
    <w:rsid w:val="00750D2A"/>
    <w:rsid w:val="00751308"/>
    <w:rsid w:val="00760120"/>
    <w:rsid w:val="0077102F"/>
    <w:rsid w:val="00772B24"/>
    <w:rsid w:val="00783778"/>
    <w:rsid w:val="0078462D"/>
    <w:rsid w:val="0079325D"/>
    <w:rsid w:val="007A05F9"/>
    <w:rsid w:val="007A1CF2"/>
    <w:rsid w:val="007A2FB7"/>
    <w:rsid w:val="007A45A5"/>
    <w:rsid w:val="007A5AED"/>
    <w:rsid w:val="007B6571"/>
    <w:rsid w:val="007C1019"/>
    <w:rsid w:val="007E43CD"/>
    <w:rsid w:val="00802BAE"/>
    <w:rsid w:val="00805676"/>
    <w:rsid w:val="0080688B"/>
    <w:rsid w:val="00812612"/>
    <w:rsid w:val="0081582B"/>
    <w:rsid w:val="008244CB"/>
    <w:rsid w:val="008260C2"/>
    <w:rsid w:val="00826846"/>
    <w:rsid w:val="008276D0"/>
    <w:rsid w:val="00846109"/>
    <w:rsid w:val="0084714A"/>
    <w:rsid w:val="00847789"/>
    <w:rsid w:val="00851E51"/>
    <w:rsid w:val="00853009"/>
    <w:rsid w:val="00857C9D"/>
    <w:rsid w:val="008642AF"/>
    <w:rsid w:val="00864569"/>
    <w:rsid w:val="00870396"/>
    <w:rsid w:val="00876210"/>
    <w:rsid w:val="00881A76"/>
    <w:rsid w:val="00891192"/>
    <w:rsid w:val="0089541C"/>
    <w:rsid w:val="008B2E1B"/>
    <w:rsid w:val="008C156F"/>
    <w:rsid w:val="008C68B1"/>
    <w:rsid w:val="008D2C4E"/>
    <w:rsid w:val="008D6835"/>
    <w:rsid w:val="008D6C02"/>
    <w:rsid w:val="008D7367"/>
    <w:rsid w:val="008E49AA"/>
    <w:rsid w:val="008F1CD7"/>
    <w:rsid w:val="0091245F"/>
    <w:rsid w:val="00913577"/>
    <w:rsid w:val="00920621"/>
    <w:rsid w:val="00923DE3"/>
    <w:rsid w:val="00940F82"/>
    <w:rsid w:val="00942D81"/>
    <w:rsid w:val="00950F98"/>
    <w:rsid w:val="00956005"/>
    <w:rsid w:val="00961D47"/>
    <w:rsid w:val="009663C8"/>
    <w:rsid w:val="009674B5"/>
    <w:rsid w:val="00974037"/>
    <w:rsid w:val="0097441B"/>
    <w:rsid w:val="0098282A"/>
    <w:rsid w:val="0098382B"/>
    <w:rsid w:val="0098704C"/>
    <w:rsid w:val="00990BC0"/>
    <w:rsid w:val="009939B0"/>
    <w:rsid w:val="00993A11"/>
    <w:rsid w:val="00997EC3"/>
    <w:rsid w:val="009B1BF7"/>
    <w:rsid w:val="009C0345"/>
    <w:rsid w:val="009D1EAC"/>
    <w:rsid w:val="009F3114"/>
    <w:rsid w:val="009F3534"/>
    <w:rsid w:val="009F6FE0"/>
    <w:rsid w:val="00A02069"/>
    <w:rsid w:val="00A06100"/>
    <w:rsid w:val="00A07A09"/>
    <w:rsid w:val="00A108B3"/>
    <w:rsid w:val="00A11044"/>
    <w:rsid w:val="00A116C3"/>
    <w:rsid w:val="00A2444A"/>
    <w:rsid w:val="00A31064"/>
    <w:rsid w:val="00A42101"/>
    <w:rsid w:val="00A43D39"/>
    <w:rsid w:val="00A565B0"/>
    <w:rsid w:val="00A65AEA"/>
    <w:rsid w:val="00A9562B"/>
    <w:rsid w:val="00A95D32"/>
    <w:rsid w:val="00A97319"/>
    <w:rsid w:val="00A97EFD"/>
    <w:rsid w:val="00AA10C6"/>
    <w:rsid w:val="00AA21EB"/>
    <w:rsid w:val="00AA6897"/>
    <w:rsid w:val="00AB0B63"/>
    <w:rsid w:val="00AC0838"/>
    <w:rsid w:val="00AC0B55"/>
    <w:rsid w:val="00AD3269"/>
    <w:rsid w:val="00AE522F"/>
    <w:rsid w:val="00B00E95"/>
    <w:rsid w:val="00B0360E"/>
    <w:rsid w:val="00B061D9"/>
    <w:rsid w:val="00B06BED"/>
    <w:rsid w:val="00B06CEF"/>
    <w:rsid w:val="00B109D6"/>
    <w:rsid w:val="00B10A3D"/>
    <w:rsid w:val="00B12C06"/>
    <w:rsid w:val="00B17377"/>
    <w:rsid w:val="00B20E9B"/>
    <w:rsid w:val="00B279DF"/>
    <w:rsid w:val="00B5179B"/>
    <w:rsid w:val="00B56B27"/>
    <w:rsid w:val="00B610DC"/>
    <w:rsid w:val="00B65717"/>
    <w:rsid w:val="00B82BD5"/>
    <w:rsid w:val="00B846A3"/>
    <w:rsid w:val="00B84F90"/>
    <w:rsid w:val="00B96482"/>
    <w:rsid w:val="00BA0F67"/>
    <w:rsid w:val="00BA1959"/>
    <w:rsid w:val="00BA7C4A"/>
    <w:rsid w:val="00BB1402"/>
    <w:rsid w:val="00BB26DC"/>
    <w:rsid w:val="00BB47BD"/>
    <w:rsid w:val="00BB561F"/>
    <w:rsid w:val="00BB604C"/>
    <w:rsid w:val="00BB60D2"/>
    <w:rsid w:val="00BC5BCA"/>
    <w:rsid w:val="00BD13AE"/>
    <w:rsid w:val="00BD1A0D"/>
    <w:rsid w:val="00BD1F13"/>
    <w:rsid w:val="00BD2DFA"/>
    <w:rsid w:val="00BE7C3A"/>
    <w:rsid w:val="00BF2FF7"/>
    <w:rsid w:val="00BF36D5"/>
    <w:rsid w:val="00BF5D2C"/>
    <w:rsid w:val="00C018BC"/>
    <w:rsid w:val="00C07E2B"/>
    <w:rsid w:val="00C07F16"/>
    <w:rsid w:val="00C106D4"/>
    <w:rsid w:val="00C23BAF"/>
    <w:rsid w:val="00C244AF"/>
    <w:rsid w:val="00C24C5F"/>
    <w:rsid w:val="00C25AD6"/>
    <w:rsid w:val="00C262EE"/>
    <w:rsid w:val="00C33B62"/>
    <w:rsid w:val="00C55545"/>
    <w:rsid w:val="00C62BE4"/>
    <w:rsid w:val="00C65929"/>
    <w:rsid w:val="00C74995"/>
    <w:rsid w:val="00C802BF"/>
    <w:rsid w:val="00C8623D"/>
    <w:rsid w:val="00C9063C"/>
    <w:rsid w:val="00C914DE"/>
    <w:rsid w:val="00C92570"/>
    <w:rsid w:val="00CA2A1F"/>
    <w:rsid w:val="00CD0FE5"/>
    <w:rsid w:val="00CE332F"/>
    <w:rsid w:val="00CF4D57"/>
    <w:rsid w:val="00D206E1"/>
    <w:rsid w:val="00D20FDF"/>
    <w:rsid w:val="00D30688"/>
    <w:rsid w:val="00D34641"/>
    <w:rsid w:val="00D41B39"/>
    <w:rsid w:val="00D4280A"/>
    <w:rsid w:val="00D45A95"/>
    <w:rsid w:val="00D53852"/>
    <w:rsid w:val="00D54362"/>
    <w:rsid w:val="00D54BF3"/>
    <w:rsid w:val="00D55E6C"/>
    <w:rsid w:val="00D564AF"/>
    <w:rsid w:val="00D64FEA"/>
    <w:rsid w:val="00D737C2"/>
    <w:rsid w:val="00D82681"/>
    <w:rsid w:val="00D97074"/>
    <w:rsid w:val="00DA6A31"/>
    <w:rsid w:val="00DA6C5C"/>
    <w:rsid w:val="00DA76B8"/>
    <w:rsid w:val="00DB1071"/>
    <w:rsid w:val="00DD1C6A"/>
    <w:rsid w:val="00DD7168"/>
    <w:rsid w:val="00DE4140"/>
    <w:rsid w:val="00DF3523"/>
    <w:rsid w:val="00DF7C9A"/>
    <w:rsid w:val="00DF7D80"/>
    <w:rsid w:val="00E153F4"/>
    <w:rsid w:val="00E2081E"/>
    <w:rsid w:val="00E324B4"/>
    <w:rsid w:val="00E345E2"/>
    <w:rsid w:val="00E42292"/>
    <w:rsid w:val="00E61195"/>
    <w:rsid w:val="00E631FA"/>
    <w:rsid w:val="00E67F82"/>
    <w:rsid w:val="00E729C1"/>
    <w:rsid w:val="00E74049"/>
    <w:rsid w:val="00E760DC"/>
    <w:rsid w:val="00E80644"/>
    <w:rsid w:val="00E9510F"/>
    <w:rsid w:val="00E971C2"/>
    <w:rsid w:val="00EB4A6E"/>
    <w:rsid w:val="00EB6AD6"/>
    <w:rsid w:val="00ED6874"/>
    <w:rsid w:val="00ED698F"/>
    <w:rsid w:val="00EE2692"/>
    <w:rsid w:val="00EE45B6"/>
    <w:rsid w:val="00EE7943"/>
    <w:rsid w:val="00EF7C48"/>
    <w:rsid w:val="00F01622"/>
    <w:rsid w:val="00F03027"/>
    <w:rsid w:val="00F03BD2"/>
    <w:rsid w:val="00F12682"/>
    <w:rsid w:val="00F42818"/>
    <w:rsid w:val="00F4648D"/>
    <w:rsid w:val="00F53EBE"/>
    <w:rsid w:val="00F57A9C"/>
    <w:rsid w:val="00F64404"/>
    <w:rsid w:val="00F7173D"/>
    <w:rsid w:val="00F74BFB"/>
    <w:rsid w:val="00F86564"/>
    <w:rsid w:val="00F90155"/>
    <w:rsid w:val="00F973F4"/>
    <w:rsid w:val="00FA0543"/>
    <w:rsid w:val="00FB0DD7"/>
    <w:rsid w:val="00FC01CB"/>
    <w:rsid w:val="00FD15F6"/>
    <w:rsid w:val="00FD2DFE"/>
    <w:rsid w:val="00FD5729"/>
    <w:rsid w:val="00FF1856"/>
    <w:rsid w:val="00FF1ABD"/>
    <w:rsid w:val="00FF3FF5"/>
    <w:rsid w:val="00FF65C3"/>
    <w:rsid w:val="017A2B5E"/>
    <w:rsid w:val="070103DE"/>
    <w:rsid w:val="0A682522"/>
    <w:rsid w:val="0CA14C28"/>
    <w:rsid w:val="0F76307C"/>
    <w:rsid w:val="14CF3D09"/>
    <w:rsid w:val="15B6280D"/>
    <w:rsid w:val="17FE0021"/>
    <w:rsid w:val="2A497822"/>
    <w:rsid w:val="2F662C24"/>
    <w:rsid w:val="313306F6"/>
    <w:rsid w:val="32A23F73"/>
    <w:rsid w:val="349E1EE3"/>
    <w:rsid w:val="382B67B9"/>
    <w:rsid w:val="3C245D0D"/>
    <w:rsid w:val="3C787E8C"/>
    <w:rsid w:val="45ED50AE"/>
    <w:rsid w:val="48C42A3E"/>
    <w:rsid w:val="4BB1743B"/>
    <w:rsid w:val="4E9609D8"/>
    <w:rsid w:val="506D7943"/>
    <w:rsid w:val="5AB04BD0"/>
    <w:rsid w:val="5D423AD9"/>
    <w:rsid w:val="601C5E1C"/>
    <w:rsid w:val="62600C89"/>
    <w:rsid w:val="655B1BDC"/>
    <w:rsid w:val="65DC0F6F"/>
    <w:rsid w:val="66BD6B7E"/>
    <w:rsid w:val="6E6F53CB"/>
    <w:rsid w:val="7A6F3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EC17A1"/>
  <w15:docId w15:val="{171AE7F0-56AA-4D91-9804-9CC920459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unhideWhenUsed="1" w:qFormat="1"/>
    <w:lsdException w:name="HTML Definition" w:unhideWhenUsed="1" w:qFormat="1"/>
    <w:lsdException w:name="HTML Keyboard" w:unhideWhenUsed="1" w:qFormat="1"/>
    <w:lsdException w:name="HTML Preformatted" w:semiHidden="1" w:unhideWhenUsed="1"/>
    <w:lsdException w:name="HTML Sample" w:unhideWhenUsed="1" w:qFormat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Strong"/>
    <w:basedOn w:val="a0"/>
    <w:uiPriority w:val="22"/>
    <w:qFormat/>
    <w:rPr>
      <w:b/>
    </w:rPr>
  </w:style>
  <w:style w:type="character" w:styleId="a9">
    <w:name w:val="FollowedHyperlink"/>
    <w:basedOn w:val="a0"/>
    <w:uiPriority w:val="99"/>
    <w:unhideWhenUsed/>
    <w:qFormat/>
    <w:rPr>
      <w:color w:val="337AB7"/>
      <w:u w:val="single"/>
    </w:rPr>
  </w:style>
  <w:style w:type="character" w:styleId="HTML">
    <w:name w:val="HTML Definition"/>
    <w:basedOn w:val="a0"/>
    <w:uiPriority w:val="99"/>
    <w:unhideWhenUsed/>
    <w:qFormat/>
    <w:rPr>
      <w:i/>
    </w:rPr>
  </w:style>
  <w:style w:type="character" w:styleId="aa">
    <w:name w:val="Hyperlink"/>
    <w:basedOn w:val="a0"/>
    <w:uiPriority w:val="99"/>
    <w:unhideWhenUsed/>
    <w:qFormat/>
    <w:rPr>
      <w:color w:val="337AB7"/>
      <w:u w:val="single"/>
    </w:rPr>
  </w:style>
  <w:style w:type="character" w:styleId="HTML0">
    <w:name w:val="HTML Code"/>
    <w:basedOn w:val="a0"/>
    <w:uiPriority w:val="99"/>
    <w:unhideWhenUsed/>
    <w:qFormat/>
    <w:rPr>
      <w:rFonts w:ascii="Menlo" w:eastAsia="Menlo" w:hAnsi="Menlo" w:cs="Menlo"/>
      <w:color w:val="C7254E"/>
      <w:sz w:val="21"/>
      <w:szCs w:val="21"/>
      <w:shd w:val="clear" w:color="auto" w:fill="F9F2F4"/>
    </w:rPr>
  </w:style>
  <w:style w:type="character" w:styleId="HTML1">
    <w:name w:val="HTML Keyboard"/>
    <w:basedOn w:val="a0"/>
    <w:uiPriority w:val="99"/>
    <w:unhideWhenUsed/>
    <w:qFormat/>
    <w:rPr>
      <w:rFonts w:ascii="Menlo" w:eastAsia="Menlo" w:hAnsi="Menlo" w:cs="Menlo" w:hint="default"/>
      <w:color w:val="FFFFFF"/>
      <w:sz w:val="21"/>
      <w:szCs w:val="21"/>
      <w:shd w:val="clear" w:color="auto" w:fill="333333"/>
    </w:rPr>
  </w:style>
  <w:style w:type="character" w:styleId="HTML2">
    <w:name w:val="HTML Sample"/>
    <w:basedOn w:val="a0"/>
    <w:uiPriority w:val="99"/>
    <w:unhideWhenUsed/>
    <w:qFormat/>
    <w:rPr>
      <w:rFonts w:ascii="Menlo" w:eastAsia="Menlo" w:hAnsi="Menlo" w:cs="Menlo" w:hint="default"/>
      <w:sz w:val="21"/>
      <w:szCs w:val="21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1">
    <w:name w:val="列出段落1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F:\&#27982;&#21335;&#24066;&#24066;&#20013;&#21306;&#25919;&#21153;&#20844;&#24320;\&#25919;&#24220;&#20449;&#24687;&#20844;&#24320;&#24180;&#24230;&#25253;&#21578;\2022&#24180;&#25919;&#24220;&#20449;&#24687;&#20844;&#24320;&#24180;&#25253;\&#26032;&#24314;%20XLS%20&#24037;&#20316;&#34920;.xls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lang="zh-CN"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zh-CN" altLang="en-US">
                <a:solidFill>
                  <a:schemeClr val="tx1"/>
                </a:solidFill>
                <a:latin typeface="黑体" panose="02010609060101010101" charset="-122"/>
                <a:ea typeface="黑体" panose="02010609060101010101" charset="-122"/>
              </a:rPr>
              <a:t>主动公开政府信息数据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Sheet1!$A$33:$A$36</c:f>
              <c:numCache>
                <c:formatCode>General</c:formatCode>
                <c:ptCount val="4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</c:numCache>
            </c:numRef>
          </c:cat>
          <c:val>
            <c:numRef>
              <c:f>Sheet1!$B$33:$B$36</c:f>
              <c:numCache>
                <c:formatCode>General</c:formatCode>
                <c:ptCount val="4"/>
                <c:pt idx="0">
                  <c:v>18300</c:v>
                </c:pt>
                <c:pt idx="1">
                  <c:v>11500</c:v>
                </c:pt>
                <c:pt idx="2">
                  <c:v>11800</c:v>
                </c:pt>
                <c:pt idx="3">
                  <c:v>16300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2F6-40DB-8ED5-1928564BE04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7868448"/>
        <c:axId val="1707885920"/>
      </c:barChart>
      <c:catAx>
        <c:axId val="1707868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07885920"/>
        <c:crosses val="autoZero"/>
        <c:auto val="1"/>
        <c:lblAlgn val="ctr"/>
        <c:lblOffset val="100"/>
        <c:noMultiLvlLbl val="0"/>
      </c:catAx>
      <c:valAx>
        <c:axId val="1707885920"/>
        <c:scaling>
          <c:orientation val="minMax"/>
          <c:min val="5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lang="zh-CN"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707868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/>
      </a:solidFill>
      <a:round/>
    </a:ln>
    <a:effectLst/>
  </c:spPr>
  <c:txPr>
    <a:bodyPr/>
    <a:lstStyle/>
    <a:p>
      <a:pPr>
        <a:defRPr lang="zh-CN"/>
      </a:pPr>
      <a:endParaRPr lang="zh-CN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13</Pages>
  <Words>707</Words>
  <Characters>4031</Characters>
  <Application>Microsoft Office Word</Application>
  <DocSecurity>0</DocSecurity>
  <Lines>33</Lines>
  <Paragraphs>9</Paragraphs>
  <ScaleCrop>false</ScaleCrop>
  <Company>微软中国</Company>
  <LinksUpToDate>false</LinksUpToDate>
  <CharactersWithSpaces>4729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qiyuanhua0168@163.com</dc:creator>
  <cp:lastModifiedBy>褚 红莹</cp:lastModifiedBy>
  <cp:revision>336</cp:revision>
  <cp:lastPrinted>2023-02-03T06:35:00Z</cp:lastPrinted>
  <dcterms:created xsi:type="dcterms:W3CDTF">2021-12-20T05:58:00Z</dcterms:created>
  <dcterms:modified xsi:type="dcterms:W3CDTF">2023-02-21T00:51:00Z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2AF9043295EC4D93B62F47F3636EE1EB</vt:lpwstr>
  </property>
</Properties>
</file>